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66EC" w14:textId="1C6F5ACF" w:rsidR="00545D33" w:rsidRDefault="00545D33" w:rsidP="00570449">
      <w:pPr>
        <w:ind w:firstLine="708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BEFA66" w14:textId="01595562" w:rsidR="00A348CD" w:rsidRPr="00E06259" w:rsidRDefault="00274799" w:rsidP="00E06259">
      <w:pPr>
        <w:ind w:firstLine="708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954FBFE" wp14:editId="6274EA6A">
            <wp:simplePos x="0" y="0"/>
            <wp:positionH relativeFrom="column">
              <wp:posOffset>153670</wp:posOffset>
            </wp:positionH>
            <wp:positionV relativeFrom="paragraph">
              <wp:posOffset>436245</wp:posOffset>
            </wp:positionV>
            <wp:extent cx="7017385" cy="1394460"/>
            <wp:effectExtent l="0" t="0" r="0" b="0"/>
            <wp:wrapSquare wrapText="bothSides"/>
            <wp:docPr id="11892788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78894" name="Obrázek 11892788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38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3218F" w:rsidRPr="0017431D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TECHNICKÝ  LIST</w:t>
      </w:r>
      <w:proofErr w:type="gramEnd"/>
    </w:p>
    <w:p w14:paraId="32914020" w14:textId="3B9C96FE" w:rsidR="00EA347C" w:rsidRDefault="00EA347C" w:rsidP="00570449">
      <w:pPr>
        <w:ind w:firstLine="708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90A27B" w14:textId="45ADAB4B" w:rsidR="00570449" w:rsidRPr="00B34AF2" w:rsidRDefault="00570449" w:rsidP="00570449">
      <w:pPr>
        <w:ind w:firstLine="708"/>
        <w:rPr>
          <w:bCs/>
          <w:color w:val="ED7D31" w:themeColor="accent2"/>
          <w:sz w:val="24"/>
          <w:szCs w:val="24"/>
        </w:rPr>
      </w:pPr>
      <w:r w:rsidRPr="00B34AF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17431D" w:rsidRPr="00B34AF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OPIS/POUŽITÍ</w:t>
      </w:r>
    </w:p>
    <w:p w14:paraId="3BF79C2C" w14:textId="75B81843" w:rsidR="005C5F8D" w:rsidRDefault="008759D4" w:rsidP="005C5F8D">
      <w:pPr>
        <w:spacing w:after="0"/>
        <w:ind w:left="708"/>
      </w:pPr>
      <w:r w:rsidRPr="008759D4">
        <w:rPr>
          <w:noProof/>
        </w:rPr>
        <w:t xml:space="preserve">Vysoce prodyšná fólie skládající se ze dvou vrstev voděodpudivého polyesterového rouna, které v sobě </w:t>
      </w:r>
      <w:r w:rsidR="007D11E9">
        <w:rPr>
          <w:noProof/>
        </w:rPr>
        <w:t xml:space="preserve">obsahuje </w:t>
      </w:r>
      <w:r w:rsidRPr="008759D4">
        <w:rPr>
          <w:noProof/>
        </w:rPr>
        <w:t xml:space="preserve">monolitickou speciální funkční membránu. K dispozici také s lepicími okraji na obou okrajích </w:t>
      </w:r>
      <w:r w:rsidR="007D11E9">
        <w:rPr>
          <w:noProof/>
        </w:rPr>
        <w:t>(SK</w:t>
      </w:r>
      <w:r w:rsidR="001600D2">
        <w:rPr>
          <w:noProof/>
        </w:rPr>
        <w:t xml:space="preserve">) </w:t>
      </w:r>
      <w:r w:rsidRPr="008759D4">
        <w:rPr>
          <w:noProof/>
        </w:rPr>
        <w:t>pro větruvzdorné a vodotěsné lepení. Pro přímou instalaci na dřevěné bednění nebo tepelnou izolaci a částečně otevřené fasády s až 20 mm (30 %/plocha) otevřených spár.</w:t>
      </w:r>
      <w:r w:rsidR="00570449" w:rsidRPr="00570449">
        <w:t xml:space="preserve">    </w:t>
      </w:r>
    </w:p>
    <w:p w14:paraId="49755328" w14:textId="01E4A76C" w:rsidR="00570449" w:rsidRDefault="00570449" w:rsidP="005C5F8D">
      <w:pPr>
        <w:spacing w:after="0"/>
        <w:ind w:left="708"/>
      </w:pPr>
      <w:r w:rsidRPr="00570449">
        <w:t xml:space="preserve">                                                                                                   </w:t>
      </w:r>
    </w:p>
    <w:p w14:paraId="58424652" w14:textId="77777777" w:rsidR="002A0617" w:rsidRPr="00875795" w:rsidRDefault="002A0617" w:rsidP="002A0617">
      <w:pPr>
        <w:spacing w:after="0"/>
        <w:ind w:left="708"/>
        <w:rPr>
          <w:b/>
          <w:bCs/>
          <w:color w:val="ED7D31" w:themeColor="accent2"/>
          <w:sz w:val="32"/>
          <w:szCs w:val="32"/>
        </w:rPr>
      </w:pPr>
      <w:r w:rsidRPr="00875795">
        <w:rPr>
          <w:b/>
          <w:bCs/>
          <w:color w:val="ED7D31" w:themeColor="accent2"/>
          <w:sz w:val="32"/>
          <w:szCs w:val="32"/>
        </w:rPr>
        <w:t>Technická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16"/>
        <w:gridCol w:w="1892"/>
        <w:gridCol w:w="1127"/>
        <w:gridCol w:w="3687"/>
      </w:tblGrid>
      <w:tr w:rsidR="002A0617" w14:paraId="2CC0EEBC" w14:textId="77777777" w:rsidTr="00B630BC">
        <w:trPr>
          <w:trHeight w:val="264"/>
        </w:trPr>
        <w:tc>
          <w:tcPr>
            <w:tcW w:w="4616" w:type="dxa"/>
            <w:shd w:val="clear" w:color="auto" w:fill="ED7D31" w:themeFill="accent2"/>
          </w:tcPr>
          <w:p w14:paraId="0190AFFA" w14:textId="77777777" w:rsidR="002A0617" w:rsidRPr="003755E3" w:rsidRDefault="002A0617" w:rsidP="00036D3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Charakteristika</w:t>
            </w:r>
          </w:p>
        </w:tc>
        <w:tc>
          <w:tcPr>
            <w:tcW w:w="1892" w:type="dxa"/>
            <w:shd w:val="clear" w:color="auto" w:fill="ED7D31" w:themeFill="accent2"/>
          </w:tcPr>
          <w:p w14:paraId="26BBCAC9" w14:textId="77777777" w:rsidR="002A0617" w:rsidRPr="003755E3" w:rsidRDefault="002A0617" w:rsidP="00036D3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Norma</w:t>
            </w:r>
          </w:p>
        </w:tc>
        <w:tc>
          <w:tcPr>
            <w:tcW w:w="1127" w:type="dxa"/>
            <w:shd w:val="clear" w:color="auto" w:fill="ED7D31" w:themeFill="accent2"/>
          </w:tcPr>
          <w:p w14:paraId="0D5F4702" w14:textId="77777777" w:rsidR="002A0617" w:rsidRPr="003755E3" w:rsidRDefault="002A0617" w:rsidP="00036D3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Jednotka</w:t>
            </w:r>
          </w:p>
        </w:tc>
        <w:tc>
          <w:tcPr>
            <w:tcW w:w="3687" w:type="dxa"/>
            <w:shd w:val="clear" w:color="auto" w:fill="ED7D31" w:themeFill="accent2"/>
          </w:tcPr>
          <w:p w14:paraId="1B33C95E" w14:textId="77777777" w:rsidR="002A0617" w:rsidRPr="003755E3" w:rsidRDefault="002A0617" w:rsidP="00036D3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Hodnota</w:t>
            </w:r>
          </w:p>
        </w:tc>
      </w:tr>
      <w:tr w:rsidR="002A0617" w14:paraId="253CF8B1" w14:textId="77777777" w:rsidTr="00B630BC">
        <w:trPr>
          <w:trHeight w:val="540"/>
        </w:trPr>
        <w:tc>
          <w:tcPr>
            <w:tcW w:w="4616" w:type="dxa"/>
          </w:tcPr>
          <w:p w14:paraId="00935A63" w14:textId="77777777" w:rsidR="002A0617" w:rsidRPr="003755E3" w:rsidRDefault="002A0617" w:rsidP="00036D38">
            <w:r>
              <w:t>Použití</w:t>
            </w:r>
          </w:p>
        </w:tc>
        <w:tc>
          <w:tcPr>
            <w:tcW w:w="1892" w:type="dxa"/>
          </w:tcPr>
          <w:p w14:paraId="2FFF26A6" w14:textId="77777777" w:rsidR="002A0617" w:rsidRPr="00646DD9" w:rsidRDefault="002A0617" w:rsidP="00036D38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14:paraId="6A7A839C" w14:textId="77777777" w:rsidR="002A0617" w:rsidRPr="00646DD9" w:rsidRDefault="002A0617" w:rsidP="00036D38">
            <w:pPr>
              <w:jc w:val="center"/>
            </w:pPr>
            <w:r>
              <w:t>-</w:t>
            </w:r>
          </w:p>
        </w:tc>
        <w:tc>
          <w:tcPr>
            <w:tcW w:w="3687" w:type="dxa"/>
          </w:tcPr>
          <w:p w14:paraId="7917E870" w14:textId="64F5B173" w:rsidR="002A0617" w:rsidRPr="00646DD9" w:rsidRDefault="002A0617" w:rsidP="00036D38">
            <w:proofErr w:type="gramStart"/>
            <w:r w:rsidRPr="007A63C5">
              <w:t>DHV - dodatečná</w:t>
            </w:r>
            <w:proofErr w:type="gramEnd"/>
            <w:r w:rsidRPr="007A63C5">
              <w:t xml:space="preserve"> hydroizolační vrstva - USB / UDB</w:t>
            </w:r>
            <w:r w:rsidR="001D5B13">
              <w:t>, fasády</w:t>
            </w:r>
          </w:p>
        </w:tc>
      </w:tr>
      <w:tr w:rsidR="002A0617" w14:paraId="353D9D4E" w14:textId="77777777" w:rsidTr="00B630BC">
        <w:trPr>
          <w:trHeight w:val="264"/>
        </w:trPr>
        <w:tc>
          <w:tcPr>
            <w:tcW w:w="4616" w:type="dxa"/>
          </w:tcPr>
          <w:p w14:paraId="2F1D5646" w14:textId="77777777" w:rsidR="002A0617" w:rsidRPr="003755E3" w:rsidRDefault="002A0617" w:rsidP="00036D38">
            <w:r>
              <w:t>Funkční vrstva</w:t>
            </w:r>
          </w:p>
        </w:tc>
        <w:tc>
          <w:tcPr>
            <w:tcW w:w="1892" w:type="dxa"/>
          </w:tcPr>
          <w:p w14:paraId="13838935" w14:textId="77777777" w:rsidR="002A0617" w:rsidRPr="00646DD9" w:rsidRDefault="002A0617" w:rsidP="00036D38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14:paraId="38337E8F" w14:textId="77777777" w:rsidR="002A0617" w:rsidRPr="00646DD9" w:rsidRDefault="002A0617" w:rsidP="00036D38">
            <w:pPr>
              <w:jc w:val="center"/>
            </w:pPr>
            <w:r>
              <w:t>-</w:t>
            </w:r>
          </w:p>
        </w:tc>
        <w:tc>
          <w:tcPr>
            <w:tcW w:w="3687" w:type="dxa"/>
          </w:tcPr>
          <w:p w14:paraId="2A8B18A8" w14:textId="1A48A575" w:rsidR="002A0617" w:rsidRPr="00646DD9" w:rsidRDefault="002A0617" w:rsidP="00036D38">
            <w:r>
              <w:t>speciální</w:t>
            </w:r>
            <w:r w:rsidRPr="0025147D">
              <w:t xml:space="preserve"> monolitický</w:t>
            </w:r>
            <w:r w:rsidR="002322C7">
              <w:t xml:space="preserve"> membrána</w:t>
            </w:r>
          </w:p>
        </w:tc>
      </w:tr>
      <w:tr w:rsidR="002A0617" w14:paraId="274E62DF" w14:textId="77777777" w:rsidTr="00B630BC">
        <w:trPr>
          <w:trHeight w:val="264"/>
        </w:trPr>
        <w:tc>
          <w:tcPr>
            <w:tcW w:w="4616" w:type="dxa"/>
          </w:tcPr>
          <w:p w14:paraId="17C87CA0" w14:textId="77777777" w:rsidR="002A0617" w:rsidRPr="003755E3" w:rsidRDefault="002A0617" w:rsidP="00036D38">
            <w:r>
              <w:t>Nosná vrstva</w:t>
            </w:r>
          </w:p>
        </w:tc>
        <w:tc>
          <w:tcPr>
            <w:tcW w:w="1892" w:type="dxa"/>
          </w:tcPr>
          <w:p w14:paraId="0161BDF3" w14:textId="77777777" w:rsidR="002A0617" w:rsidRPr="00646DD9" w:rsidRDefault="002A0617" w:rsidP="00036D38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14:paraId="1DC0D31E" w14:textId="77777777" w:rsidR="002A0617" w:rsidRPr="00646DD9" w:rsidRDefault="002A0617" w:rsidP="00036D38">
            <w:pPr>
              <w:jc w:val="center"/>
            </w:pPr>
            <w:r>
              <w:t>-</w:t>
            </w:r>
          </w:p>
        </w:tc>
        <w:tc>
          <w:tcPr>
            <w:tcW w:w="3687" w:type="dxa"/>
          </w:tcPr>
          <w:p w14:paraId="096FF674" w14:textId="7366AA22" w:rsidR="002A0617" w:rsidRPr="00646DD9" w:rsidRDefault="002322C7" w:rsidP="00036D38">
            <w:r>
              <w:t>Polyesterový</w:t>
            </w:r>
            <w:r w:rsidR="002A0617" w:rsidRPr="008C3FC0">
              <w:t xml:space="preserve"> </w:t>
            </w:r>
            <w:r w:rsidR="002A0617">
              <w:t>vlys</w:t>
            </w:r>
            <w:r w:rsidR="002A0617" w:rsidRPr="008C3FC0">
              <w:t xml:space="preserve"> </w:t>
            </w:r>
          </w:p>
        </w:tc>
      </w:tr>
      <w:tr w:rsidR="002A0617" w14:paraId="5C019CBA" w14:textId="77777777" w:rsidTr="00B630BC">
        <w:trPr>
          <w:trHeight w:val="264"/>
        </w:trPr>
        <w:tc>
          <w:tcPr>
            <w:tcW w:w="4616" w:type="dxa"/>
          </w:tcPr>
          <w:p w14:paraId="0533D2FB" w14:textId="77777777" w:rsidR="002A0617" w:rsidRPr="003755E3" w:rsidRDefault="002A0617" w:rsidP="00036D38">
            <w:r>
              <w:t>Plošná hmotnost</w:t>
            </w:r>
          </w:p>
        </w:tc>
        <w:tc>
          <w:tcPr>
            <w:tcW w:w="1892" w:type="dxa"/>
          </w:tcPr>
          <w:p w14:paraId="3031875E" w14:textId="659ADD1C" w:rsidR="002A0617" w:rsidRPr="00646DD9" w:rsidRDefault="008874EF" w:rsidP="00036D38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14:paraId="7722E85D" w14:textId="77777777" w:rsidR="002A0617" w:rsidRPr="00646DD9" w:rsidRDefault="002A0617" w:rsidP="00036D38">
            <w:pPr>
              <w:jc w:val="center"/>
            </w:pPr>
            <w:r>
              <w:t>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14:paraId="11393DB9" w14:textId="33A24805" w:rsidR="002A0617" w:rsidRPr="00646DD9" w:rsidRDefault="005D10E9" w:rsidP="00036D38">
            <w:r>
              <w:t>1</w:t>
            </w:r>
            <w:r w:rsidR="002A0617">
              <w:t>20</w:t>
            </w:r>
          </w:p>
        </w:tc>
      </w:tr>
      <w:tr w:rsidR="002A0617" w14:paraId="763E9D38" w14:textId="77777777" w:rsidTr="00B630BC">
        <w:trPr>
          <w:trHeight w:val="276"/>
        </w:trPr>
        <w:tc>
          <w:tcPr>
            <w:tcW w:w="4616" w:type="dxa"/>
          </w:tcPr>
          <w:p w14:paraId="44E66017" w14:textId="77777777" w:rsidR="002A0617" w:rsidRDefault="002A0617" w:rsidP="00036D38">
            <w:r w:rsidRPr="00ED10FE">
              <w:t>Rozměrová přesnost</w:t>
            </w:r>
          </w:p>
        </w:tc>
        <w:tc>
          <w:tcPr>
            <w:tcW w:w="1892" w:type="dxa"/>
          </w:tcPr>
          <w:p w14:paraId="550127FF" w14:textId="77777777" w:rsidR="002A0617" w:rsidRDefault="002A0617" w:rsidP="00036D38">
            <w:pPr>
              <w:jc w:val="center"/>
            </w:pPr>
            <w:r>
              <w:t>EN 1107-2</w:t>
            </w:r>
          </w:p>
        </w:tc>
        <w:tc>
          <w:tcPr>
            <w:tcW w:w="1127" w:type="dxa"/>
          </w:tcPr>
          <w:p w14:paraId="28685314" w14:textId="77777777" w:rsidR="002A0617" w:rsidRDefault="002A0617" w:rsidP="00036D38">
            <w:pPr>
              <w:jc w:val="center"/>
            </w:pPr>
            <w:r>
              <w:t>%</w:t>
            </w:r>
          </w:p>
        </w:tc>
        <w:tc>
          <w:tcPr>
            <w:tcW w:w="3687" w:type="dxa"/>
          </w:tcPr>
          <w:p w14:paraId="45480041" w14:textId="77777777" w:rsidR="002A0617" w:rsidRDefault="002A0617" w:rsidP="00036D38">
            <w:r>
              <w:t>&lt;1</w:t>
            </w:r>
          </w:p>
        </w:tc>
      </w:tr>
      <w:tr w:rsidR="002A0617" w14:paraId="7B6DCB64" w14:textId="77777777" w:rsidTr="00B630BC">
        <w:trPr>
          <w:trHeight w:val="264"/>
        </w:trPr>
        <w:tc>
          <w:tcPr>
            <w:tcW w:w="4616" w:type="dxa"/>
          </w:tcPr>
          <w:p w14:paraId="5B2264DA" w14:textId="77777777" w:rsidR="002A0617" w:rsidRPr="003755E3" w:rsidRDefault="002A0617" w:rsidP="00036D38">
            <w:r>
              <w:t>Tloušťka</w:t>
            </w:r>
          </w:p>
        </w:tc>
        <w:tc>
          <w:tcPr>
            <w:tcW w:w="1892" w:type="dxa"/>
          </w:tcPr>
          <w:p w14:paraId="5183F49B" w14:textId="3ABE9229" w:rsidR="002A0617" w:rsidRPr="00646DD9" w:rsidRDefault="002A0617" w:rsidP="00036D38">
            <w:pPr>
              <w:jc w:val="center"/>
            </w:pPr>
            <w:r>
              <w:t>EN 1849-</w:t>
            </w:r>
            <w:r w:rsidR="0062734F">
              <w:t>1</w:t>
            </w:r>
          </w:p>
        </w:tc>
        <w:tc>
          <w:tcPr>
            <w:tcW w:w="1127" w:type="dxa"/>
          </w:tcPr>
          <w:p w14:paraId="4E4BD059" w14:textId="77777777" w:rsidR="002A0617" w:rsidRPr="00646DD9" w:rsidRDefault="002A0617" w:rsidP="00036D38">
            <w:pPr>
              <w:jc w:val="center"/>
            </w:pPr>
            <w:r>
              <w:t>mm</w:t>
            </w:r>
          </w:p>
        </w:tc>
        <w:tc>
          <w:tcPr>
            <w:tcW w:w="3687" w:type="dxa"/>
          </w:tcPr>
          <w:p w14:paraId="4D84D1B4" w14:textId="0B7277F8" w:rsidR="002A0617" w:rsidRPr="00646DD9" w:rsidRDefault="002A0617" w:rsidP="00036D38">
            <w:r>
              <w:t>0,</w:t>
            </w:r>
            <w:r w:rsidR="0062734F">
              <w:t>4</w:t>
            </w:r>
          </w:p>
        </w:tc>
      </w:tr>
      <w:tr w:rsidR="002A0617" w14:paraId="050D80E4" w14:textId="77777777" w:rsidTr="00B630BC">
        <w:trPr>
          <w:trHeight w:val="264"/>
        </w:trPr>
        <w:tc>
          <w:tcPr>
            <w:tcW w:w="4616" w:type="dxa"/>
          </w:tcPr>
          <w:p w14:paraId="3E20B5D6" w14:textId="77777777" w:rsidR="002A0617" w:rsidRPr="007C3F66" w:rsidRDefault="002A0617" w:rsidP="00036D38">
            <w:pPr>
              <w:rPr>
                <w:sz w:val="18"/>
                <w:szCs w:val="18"/>
              </w:rPr>
            </w:pPr>
            <w:r>
              <w:t>Reakce na oheň</w:t>
            </w:r>
          </w:p>
        </w:tc>
        <w:tc>
          <w:tcPr>
            <w:tcW w:w="1892" w:type="dxa"/>
          </w:tcPr>
          <w:p w14:paraId="07ECABFC" w14:textId="77777777" w:rsidR="002A0617" w:rsidRPr="007C3F66" w:rsidRDefault="002A0617" w:rsidP="00036D38">
            <w:pPr>
              <w:jc w:val="center"/>
              <w:rPr>
                <w:sz w:val="18"/>
                <w:szCs w:val="18"/>
              </w:rPr>
            </w:pPr>
            <w:r>
              <w:t>EN 13501-1</w:t>
            </w:r>
          </w:p>
        </w:tc>
        <w:tc>
          <w:tcPr>
            <w:tcW w:w="1127" w:type="dxa"/>
          </w:tcPr>
          <w:p w14:paraId="1D8EA2D6" w14:textId="77777777" w:rsidR="002A0617" w:rsidRPr="00646DD9" w:rsidRDefault="002A0617" w:rsidP="00036D38">
            <w:pPr>
              <w:jc w:val="center"/>
            </w:pPr>
            <w:r>
              <w:t>třída</w:t>
            </w:r>
          </w:p>
        </w:tc>
        <w:tc>
          <w:tcPr>
            <w:tcW w:w="3687" w:type="dxa"/>
          </w:tcPr>
          <w:p w14:paraId="0409BFBE" w14:textId="77777777" w:rsidR="002A0617" w:rsidRPr="00646DD9" w:rsidRDefault="002A0617" w:rsidP="00036D38">
            <w:r>
              <w:t>E</w:t>
            </w:r>
          </w:p>
        </w:tc>
      </w:tr>
      <w:tr w:rsidR="002A0617" w14:paraId="3FF3AB88" w14:textId="77777777" w:rsidTr="00B630BC">
        <w:trPr>
          <w:trHeight w:val="264"/>
        </w:trPr>
        <w:tc>
          <w:tcPr>
            <w:tcW w:w="4616" w:type="dxa"/>
          </w:tcPr>
          <w:p w14:paraId="72166C63" w14:textId="77777777" w:rsidR="002A0617" w:rsidRPr="003755E3" w:rsidRDefault="002A0617" w:rsidP="00036D38">
            <w:r>
              <w:t>Odolnost proti průniku vody</w:t>
            </w:r>
          </w:p>
        </w:tc>
        <w:tc>
          <w:tcPr>
            <w:tcW w:w="1892" w:type="dxa"/>
          </w:tcPr>
          <w:p w14:paraId="61490FB1" w14:textId="77777777" w:rsidR="002A0617" w:rsidRPr="00646DD9" w:rsidRDefault="002A0617" w:rsidP="00036D38">
            <w:pPr>
              <w:jc w:val="center"/>
            </w:pPr>
            <w:r>
              <w:t>EN 1298</w:t>
            </w:r>
          </w:p>
        </w:tc>
        <w:tc>
          <w:tcPr>
            <w:tcW w:w="1127" w:type="dxa"/>
          </w:tcPr>
          <w:p w14:paraId="4AEBF1B6" w14:textId="77777777" w:rsidR="002A0617" w:rsidRPr="00646DD9" w:rsidRDefault="002A0617" w:rsidP="00036D38">
            <w:pPr>
              <w:jc w:val="center"/>
            </w:pPr>
            <w:r>
              <w:t>třída</w:t>
            </w:r>
          </w:p>
        </w:tc>
        <w:tc>
          <w:tcPr>
            <w:tcW w:w="3687" w:type="dxa"/>
          </w:tcPr>
          <w:p w14:paraId="58A4A8FC" w14:textId="77777777" w:rsidR="002A0617" w:rsidRPr="00646DD9" w:rsidRDefault="002A0617" w:rsidP="00036D38">
            <w:r>
              <w:t>W1</w:t>
            </w:r>
          </w:p>
        </w:tc>
      </w:tr>
      <w:tr w:rsidR="002A0617" w14:paraId="3FDEAC48" w14:textId="77777777" w:rsidTr="00B630BC">
        <w:trPr>
          <w:trHeight w:val="276"/>
        </w:trPr>
        <w:tc>
          <w:tcPr>
            <w:tcW w:w="4616" w:type="dxa"/>
          </w:tcPr>
          <w:p w14:paraId="02084E09" w14:textId="77777777" w:rsidR="002A0617" w:rsidRPr="003755E3" w:rsidRDefault="002A0617" w:rsidP="00036D38">
            <w:r>
              <w:t>Hodnota po umělém stárnutí</w:t>
            </w:r>
          </w:p>
        </w:tc>
        <w:tc>
          <w:tcPr>
            <w:tcW w:w="1892" w:type="dxa"/>
          </w:tcPr>
          <w:p w14:paraId="13A669A4" w14:textId="77777777" w:rsidR="002A0617" w:rsidRPr="00646DD9" w:rsidRDefault="002A0617" w:rsidP="00036D38">
            <w:pPr>
              <w:jc w:val="center"/>
            </w:pPr>
            <w:r w:rsidRPr="007C3F66">
              <w:rPr>
                <w:sz w:val="18"/>
                <w:szCs w:val="18"/>
              </w:rPr>
              <w:t>EN 1297/1296</w:t>
            </w:r>
          </w:p>
        </w:tc>
        <w:tc>
          <w:tcPr>
            <w:tcW w:w="1127" w:type="dxa"/>
          </w:tcPr>
          <w:p w14:paraId="722F7F29" w14:textId="77777777" w:rsidR="002A0617" w:rsidRPr="00646DD9" w:rsidRDefault="002A0617" w:rsidP="00036D38">
            <w:pPr>
              <w:jc w:val="center"/>
            </w:pPr>
            <w:r>
              <w:t>třída</w:t>
            </w:r>
          </w:p>
        </w:tc>
        <w:tc>
          <w:tcPr>
            <w:tcW w:w="3687" w:type="dxa"/>
          </w:tcPr>
          <w:p w14:paraId="232E3CC9" w14:textId="77777777" w:rsidR="002A0617" w:rsidRPr="00646DD9" w:rsidRDefault="002A0617" w:rsidP="00036D38">
            <w:r>
              <w:t>W1</w:t>
            </w:r>
          </w:p>
        </w:tc>
      </w:tr>
      <w:tr w:rsidR="002A0617" w14:paraId="7DAC0B6F" w14:textId="77777777" w:rsidTr="00B630BC">
        <w:trPr>
          <w:trHeight w:val="264"/>
        </w:trPr>
        <w:tc>
          <w:tcPr>
            <w:tcW w:w="4616" w:type="dxa"/>
          </w:tcPr>
          <w:p w14:paraId="5C842803" w14:textId="77777777" w:rsidR="002A0617" w:rsidRPr="003755E3" w:rsidRDefault="002A0617" w:rsidP="00036D38">
            <w:r>
              <w:t>Pevnost v tahu/</w:t>
            </w:r>
            <w:proofErr w:type="spellStart"/>
            <w:proofErr w:type="gramStart"/>
            <w:r>
              <w:t>max.tažná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sílá</w:t>
            </w:r>
            <w:proofErr w:type="spellEnd"/>
            <w:r>
              <w:t xml:space="preserve"> podélná</w:t>
            </w:r>
          </w:p>
        </w:tc>
        <w:tc>
          <w:tcPr>
            <w:tcW w:w="1892" w:type="dxa"/>
          </w:tcPr>
          <w:p w14:paraId="54FFDD78" w14:textId="77777777" w:rsidR="002A0617" w:rsidRPr="007C3F66" w:rsidRDefault="002A0617" w:rsidP="00036D38">
            <w:pPr>
              <w:jc w:val="center"/>
              <w:rPr>
                <w:sz w:val="18"/>
                <w:szCs w:val="18"/>
              </w:rPr>
            </w:pPr>
            <w:r>
              <w:t>EN 12311-1</w:t>
            </w:r>
          </w:p>
        </w:tc>
        <w:tc>
          <w:tcPr>
            <w:tcW w:w="1127" w:type="dxa"/>
          </w:tcPr>
          <w:p w14:paraId="76E03163" w14:textId="77777777" w:rsidR="002A0617" w:rsidRPr="00646DD9" w:rsidRDefault="002A0617" w:rsidP="00036D38">
            <w:pPr>
              <w:jc w:val="center"/>
            </w:pPr>
            <w:r>
              <w:t>N</w:t>
            </w:r>
          </w:p>
        </w:tc>
        <w:tc>
          <w:tcPr>
            <w:tcW w:w="3687" w:type="dxa"/>
          </w:tcPr>
          <w:p w14:paraId="11D39948" w14:textId="6608C292" w:rsidR="002A0617" w:rsidRPr="00646DD9" w:rsidRDefault="003B3307" w:rsidP="00036D38">
            <w:r>
              <w:t>320</w:t>
            </w:r>
          </w:p>
        </w:tc>
      </w:tr>
      <w:tr w:rsidR="002A0617" w14:paraId="3FB3B672" w14:textId="77777777" w:rsidTr="00B630BC">
        <w:trPr>
          <w:trHeight w:val="264"/>
        </w:trPr>
        <w:tc>
          <w:tcPr>
            <w:tcW w:w="4616" w:type="dxa"/>
          </w:tcPr>
          <w:p w14:paraId="4C3FAEF0" w14:textId="77777777" w:rsidR="002A0617" w:rsidRPr="003755E3" w:rsidRDefault="002A0617" w:rsidP="00036D38">
            <w:r>
              <w:t>Pevnost v tahu/</w:t>
            </w:r>
            <w:proofErr w:type="spellStart"/>
            <w:proofErr w:type="gramStart"/>
            <w:r>
              <w:t>max.tažná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sílá</w:t>
            </w:r>
            <w:proofErr w:type="spellEnd"/>
            <w:r>
              <w:t xml:space="preserve"> příčná</w:t>
            </w:r>
          </w:p>
        </w:tc>
        <w:tc>
          <w:tcPr>
            <w:tcW w:w="1892" w:type="dxa"/>
          </w:tcPr>
          <w:p w14:paraId="422712B7" w14:textId="77777777" w:rsidR="002A0617" w:rsidRPr="00646DD9" w:rsidRDefault="002A0617" w:rsidP="00036D38">
            <w:pPr>
              <w:jc w:val="center"/>
            </w:pPr>
            <w:r>
              <w:t>EN 12311-1</w:t>
            </w:r>
          </w:p>
        </w:tc>
        <w:tc>
          <w:tcPr>
            <w:tcW w:w="1127" w:type="dxa"/>
          </w:tcPr>
          <w:p w14:paraId="7005D50A" w14:textId="77777777" w:rsidR="002A0617" w:rsidRPr="00646DD9" w:rsidRDefault="002A0617" w:rsidP="00036D38">
            <w:pPr>
              <w:jc w:val="center"/>
            </w:pPr>
            <w:r>
              <w:t>N</w:t>
            </w:r>
          </w:p>
        </w:tc>
        <w:tc>
          <w:tcPr>
            <w:tcW w:w="3687" w:type="dxa"/>
          </w:tcPr>
          <w:p w14:paraId="2ACAC351" w14:textId="33A9BA6A" w:rsidR="002A0617" w:rsidRPr="00646DD9" w:rsidRDefault="003B3307" w:rsidP="00036D38">
            <w:r>
              <w:t>210</w:t>
            </w:r>
          </w:p>
        </w:tc>
      </w:tr>
      <w:tr w:rsidR="002A0617" w14:paraId="503BCD16" w14:textId="77777777" w:rsidTr="00B630BC">
        <w:trPr>
          <w:trHeight w:val="264"/>
        </w:trPr>
        <w:tc>
          <w:tcPr>
            <w:tcW w:w="4616" w:type="dxa"/>
          </w:tcPr>
          <w:p w14:paraId="6C6AF9D8" w14:textId="77777777" w:rsidR="002A0617" w:rsidRDefault="002A0617" w:rsidP="00036D38">
            <w:r w:rsidRPr="00E17FA9">
              <w:t>Maximální pevnost v tahu po stárnutí</w:t>
            </w:r>
          </w:p>
        </w:tc>
        <w:tc>
          <w:tcPr>
            <w:tcW w:w="1892" w:type="dxa"/>
          </w:tcPr>
          <w:p w14:paraId="5EFFC9C7" w14:textId="77777777" w:rsidR="002A0617" w:rsidRDefault="002A0617" w:rsidP="00036D38">
            <w:pPr>
              <w:jc w:val="center"/>
            </w:pPr>
            <w:r w:rsidRPr="007C3F66">
              <w:rPr>
                <w:sz w:val="18"/>
                <w:szCs w:val="18"/>
              </w:rPr>
              <w:t>EN 1297/1296</w:t>
            </w:r>
          </w:p>
        </w:tc>
        <w:tc>
          <w:tcPr>
            <w:tcW w:w="1127" w:type="dxa"/>
          </w:tcPr>
          <w:p w14:paraId="15ECD04E" w14:textId="77777777" w:rsidR="002A0617" w:rsidRDefault="002A0617" w:rsidP="00036D38">
            <w:pPr>
              <w:jc w:val="center"/>
            </w:pPr>
            <w:r>
              <w:t>%</w:t>
            </w:r>
          </w:p>
        </w:tc>
        <w:tc>
          <w:tcPr>
            <w:tcW w:w="3687" w:type="dxa"/>
          </w:tcPr>
          <w:p w14:paraId="39000139" w14:textId="4186979B" w:rsidR="002A0617" w:rsidRDefault="00507977" w:rsidP="00507977">
            <w:r>
              <w:t xml:space="preserve">&gt; </w:t>
            </w:r>
            <w:r w:rsidR="004641C4">
              <w:t>7</w:t>
            </w:r>
            <w:r w:rsidR="002A0617">
              <w:t>5 původní hodnoty</w:t>
            </w:r>
          </w:p>
        </w:tc>
      </w:tr>
      <w:tr w:rsidR="002A0617" w14:paraId="2D82F2F3" w14:textId="77777777" w:rsidTr="00B630BC">
        <w:trPr>
          <w:trHeight w:val="264"/>
        </w:trPr>
        <w:tc>
          <w:tcPr>
            <w:tcW w:w="4616" w:type="dxa"/>
          </w:tcPr>
          <w:p w14:paraId="2137959E" w14:textId="77777777" w:rsidR="002A0617" w:rsidRPr="003755E3" w:rsidRDefault="002A0617" w:rsidP="00036D38">
            <w:r>
              <w:t>Prodloužení podélné</w:t>
            </w:r>
          </w:p>
        </w:tc>
        <w:tc>
          <w:tcPr>
            <w:tcW w:w="1892" w:type="dxa"/>
          </w:tcPr>
          <w:p w14:paraId="6C7392F5" w14:textId="77777777" w:rsidR="002A0617" w:rsidRPr="00646DD9" w:rsidRDefault="002A0617" w:rsidP="00036D38">
            <w:pPr>
              <w:jc w:val="center"/>
            </w:pPr>
            <w:r>
              <w:t>EN 12311-1</w:t>
            </w:r>
          </w:p>
        </w:tc>
        <w:tc>
          <w:tcPr>
            <w:tcW w:w="1127" w:type="dxa"/>
          </w:tcPr>
          <w:p w14:paraId="28D9A290" w14:textId="77777777" w:rsidR="002A0617" w:rsidRPr="00646DD9" w:rsidRDefault="002A0617" w:rsidP="00036D38">
            <w:pPr>
              <w:jc w:val="center"/>
            </w:pPr>
            <w:r>
              <w:t>%</w:t>
            </w:r>
          </w:p>
        </w:tc>
        <w:tc>
          <w:tcPr>
            <w:tcW w:w="3687" w:type="dxa"/>
          </w:tcPr>
          <w:p w14:paraId="403E34F8" w14:textId="7789A609" w:rsidR="002A0617" w:rsidRPr="00646DD9" w:rsidRDefault="006936B1" w:rsidP="00036D38">
            <w:r>
              <w:t>35</w:t>
            </w:r>
          </w:p>
        </w:tc>
      </w:tr>
      <w:tr w:rsidR="002A0617" w14:paraId="080A9C84" w14:textId="77777777" w:rsidTr="00B630BC">
        <w:trPr>
          <w:trHeight w:val="276"/>
        </w:trPr>
        <w:tc>
          <w:tcPr>
            <w:tcW w:w="4616" w:type="dxa"/>
          </w:tcPr>
          <w:p w14:paraId="13AF1A7D" w14:textId="77777777" w:rsidR="002A0617" w:rsidRPr="00013D78" w:rsidRDefault="002A0617" w:rsidP="00036D38">
            <w:r w:rsidRPr="00013D78">
              <w:t>Prodloužení</w:t>
            </w:r>
            <w:r>
              <w:t xml:space="preserve"> příčné</w:t>
            </w:r>
          </w:p>
        </w:tc>
        <w:tc>
          <w:tcPr>
            <w:tcW w:w="1892" w:type="dxa"/>
          </w:tcPr>
          <w:p w14:paraId="3F97E874" w14:textId="77777777" w:rsidR="002A0617" w:rsidRPr="00646DD9" w:rsidRDefault="002A0617" w:rsidP="00036D38">
            <w:pPr>
              <w:jc w:val="center"/>
            </w:pPr>
            <w:r>
              <w:t>EN 12311-1</w:t>
            </w:r>
          </w:p>
        </w:tc>
        <w:tc>
          <w:tcPr>
            <w:tcW w:w="1127" w:type="dxa"/>
          </w:tcPr>
          <w:p w14:paraId="41BD8913" w14:textId="77777777" w:rsidR="002A0617" w:rsidRPr="00646DD9" w:rsidRDefault="002A0617" w:rsidP="00036D38">
            <w:pPr>
              <w:jc w:val="center"/>
            </w:pPr>
            <w:r>
              <w:t>%</w:t>
            </w:r>
          </w:p>
        </w:tc>
        <w:tc>
          <w:tcPr>
            <w:tcW w:w="3687" w:type="dxa"/>
          </w:tcPr>
          <w:p w14:paraId="1F407D10" w14:textId="6A2CAF13" w:rsidR="002A0617" w:rsidRPr="00646DD9" w:rsidRDefault="006936B1" w:rsidP="00036D38">
            <w:r>
              <w:t>25</w:t>
            </w:r>
          </w:p>
        </w:tc>
      </w:tr>
      <w:tr w:rsidR="002A0617" w14:paraId="5AE064C4" w14:textId="77777777" w:rsidTr="00B630BC">
        <w:trPr>
          <w:trHeight w:val="264"/>
        </w:trPr>
        <w:tc>
          <w:tcPr>
            <w:tcW w:w="4616" w:type="dxa"/>
          </w:tcPr>
          <w:p w14:paraId="1A23354B" w14:textId="77777777" w:rsidR="002A0617" w:rsidRPr="003755E3" w:rsidRDefault="002A0617" w:rsidP="00036D38">
            <w:r w:rsidRPr="00190E04">
              <w:t>Prodloužení po stárnutí</w:t>
            </w:r>
          </w:p>
        </w:tc>
        <w:tc>
          <w:tcPr>
            <w:tcW w:w="1892" w:type="dxa"/>
          </w:tcPr>
          <w:p w14:paraId="53C040B5" w14:textId="77777777" w:rsidR="002A0617" w:rsidRPr="00646DD9" w:rsidRDefault="002A0617" w:rsidP="00036D38">
            <w:pPr>
              <w:jc w:val="center"/>
            </w:pPr>
            <w:r w:rsidRPr="007C3F66">
              <w:rPr>
                <w:sz w:val="18"/>
                <w:szCs w:val="18"/>
              </w:rPr>
              <w:t>EN 1297/1296</w:t>
            </w:r>
          </w:p>
        </w:tc>
        <w:tc>
          <w:tcPr>
            <w:tcW w:w="1127" w:type="dxa"/>
          </w:tcPr>
          <w:p w14:paraId="117F3E04" w14:textId="77777777" w:rsidR="002A0617" w:rsidRPr="00646DD9" w:rsidRDefault="002A0617" w:rsidP="00036D38">
            <w:pPr>
              <w:jc w:val="center"/>
            </w:pPr>
            <w:r>
              <w:t>%</w:t>
            </w:r>
          </w:p>
        </w:tc>
        <w:tc>
          <w:tcPr>
            <w:tcW w:w="3687" w:type="dxa"/>
          </w:tcPr>
          <w:p w14:paraId="597AE642" w14:textId="50DF4A8E" w:rsidR="002A0617" w:rsidRPr="00646DD9" w:rsidRDefault="002A0617" w:rsidP="00036D38">
            <w:r>
              <w:t>&gt;</w:t>
            </w:r>
            <w:r w:rsidR="006936B1">
              <w:t xml:space="preserve"> 7</w:t>
            </w:r>
            <w:r>
              <w:t>5 původní hodnoty</w:t>
            </w:r>
          </w:p>
        </w:tc>
      </w:tr>
      <w:tr w:rsidR="002A0617" w:rsidRPr="00013D78" w14:paraId="594F7D45" w14:textId="77777777" w:rsidTr="00B630BC">
        <w:trPr>
          <w:trHeight w:val="264"/>
        </w:trPr>
        <w:tc>
          <w:tcPr>
            <w:tcW w:w="4616" w:type="dxa"/>
          </w:tcPr>
          <w:p w14:paraId="6D869788" w14:textId="77777777" w:rsidR="002A0617" w:rsidRPr="00013D78" w:rsidRDefault="002A0617" w:rsidP="00036D38">
            <w:r>
              <w:t>Odolnost proti protržení (dřík hřebu) podélně</w:t>
            </w:r>
          </w:p>
        </w:tc>
        <w:tc>
          <w:tcPr>
            <w:tcW w:w="1892" w:type="dxa"/>
          </w:tcPr>
          <w:p w14:paraId="5F701E90" w14:textId="77777777" w:rsidR="002A0617" w:rsidRPr="00013D78" w:rsidRDefault="002A0617" w:rsidP="00036D38">
            <w:pPr>
              <w:jc w:val="center"/>
            </w:pPr>
            <w:r>
              <w:t>EN 12310-1</w:t>
            </w:r>
          </w:p>
        </w:tc>
        <w:tc>
          <w:tcPr>
            <w:tcW w:w="1127" w:type="dxa"/>
          </w:tcPr>
          <w:p w14:paraId="6B51525A" w14:textId="77777777" w:rsidR="002A0617" w:rsidRPr="00013D78" w:rsidRDefault="002A0617" w:rsidP="00036D38">
            <w:pPr>
              <w:jc w:val="center"/>
            </w:pPr>
            <w:r>
              <w:t>N</w:t>
            </w:r>
          </w:p>
        </w:tc>
        <w:tc>
          <w:tcPr>
            <w:tcW w:w="3687" w:type="dxa"/>
          </w:tcPr>
          <w:p w14:paraId="29D130F2" w14:textId="09E9EE97" w:rsidR="002A0617" w:rsidRPr="00013D78" w:rsidRDefault="00CC281E" w:rsidP="00036D38">
            <w:r w:rsidRPr="00CC281E">
              <w:t>120 ±</w:t>
            </w:r>
            <w:proofErr w:type="gramStart"/>
            <w:r w:rsidRPr="00CC281E">
              <w:t>20%</w:t>
            </w:r>
            <w:proofErr w:type="gramEnd"/>
          </w:p>
        </w:tc>
      </w:tr>
      <w:tr w:rsidR="002A0617" w:rsidRPr="00013D78" w14:paraId="1A686D44" w14:textId="77777777" w:rsidTr="00B630BC">
        <w:trPr>
          <w:trHeight w:val="264"/>
        </w:trPr>
        <w:tc>
          <w:tcPr>
            <w:tcW w:w="4616" w:type="dxa"/>
          </w:tcPr>
          <w:p w14:paraId="5985933C" w14:textId="77777777" w:rsidR="002A0617" w:rsidRPr="00013D78" w:rsidRDefault="002A0617" w:rsidP="00036D38">
            <w:r>
              <w:t>Odolnost proti protržení (dřík hřebu) příčně</w:t>
            </w:r>
          </w:p>
        </w:tc>
        <w:tc>
          <w:tcPr>
            <w:tcW w:w="1892" w:type="dxa"/>
          </w:tcPr>
          <w:p w14:paraId="746E5676" w14:textId="77777777" w:rsidR="002A0617" w:rsidRPr="00431812" w:rsidRDefault="002A0617" w:rsidP="00036D38">
            <w:pPr>
              <w:jc w:val="center"/>
              <w:rPr>
                <w:sz w:val="20"/>
                <w:szCs w:val="20"/>
              </w:rPr>
            </w:pPr>
            <w:r>
              <w:t>EN 12310-1</w:t>
            </w:r>
          </w:p>
        </w:tc>
        <w:tc>
          <w:tcPr>
            <w:tcW w:w="1127" w:type="dxa"/>
          </w:tcPr>
          <w:p w14:paraId="47F7DBC3" w14:textId="77777777" w:rsidR="002A0617" w:rsidRPr="00013D78" w:rsidRDefault="002A0617" w:rsidP="00036D38">
            <w:pPr>
              <w:jc w:val="center"/>
            </w:pPr>
            <w:r>
              <w:t>N</w:t>
            </w:r>
          </w:p>
        </w:tc>
        <w:tc>
          <w:tcPr>
            <w:tcW w:w="3687" w:type="dxa"/>
          </w:tcPr>
          <w:p w14:paraId="0AB69B17" w14:textId="2DD41DFC" w:rsidR="002A0617" w:rsidRPr="00013D78" w:rsidRDefault="00CC281E" w:rsidP="00036D38">
            <w:r w:rsidRPr="00CC281E">
              <w:t>1</w:t>
            </w:r>
            <w:r>
              <w:t>3</w:t>
            </w:r>
            <w:r w:rsidRPr="00CC281E">
              <w:t>0 ±</w:t>
            </w:r>
            <w:proofErr w:type="gramStart"/>
            <w:r w:rsidRPr="00CC281E">
              <w:t>20%</w:t>
            </w:r>
            <w:proofErr w:type="gramEnd"/>
          </w:p>
        </w:tc>
      </w:tr>
      <w:tr w:rsidR="002A0617" w:rsidRPr="00013D78" w14:paraId="734A3BB8" w14:textId="77777777" w:rsidTr="00B630BC">
        <w:trPr>
          <w:trHeight w:val="264"/>
        </w:trPr>
        <w:tc>
          <w:tcPr>
            <w:tcW w:w="4616" w:type="dxa"/>
          </w:tcPr>
          <w:p w14:paraId="33348E1D" w14:textId="77777777" w:rsidR="002A0617" w:rsidRPr="00013D78" w:rsidRDefault="002A0617" w:rsidP="00036D38">
            <w:r>
              <w:t>Chování při ohybu za studena</w:t>
            </w:r>
          </w:p>
        </w:tc>
        <w:tc>
          <w:tcPr>
            <w:tcW w:w="1892" w:type="dxa"/>
          </w:tcPr>
          <w:p w14:paraId="023CC229" w14:textId="77777777" w:rsidR="002A0617" w:rsidRPr="00013D78" w:rsidRDefault="002A0617" w:rsidP="00036D38">
            <w:pPr>
              <w:jc w:val="center"/>
            </w:pPr>
            <w:r>
              <w:t>EN 1109</w:t>
            </w:r>
          </w:p>
        </w:tc>
        <w:tc>
          <w:tcPr>
            <w:tcW w:w="1127" w:type="dxa"/>
          </w:tcPr>
          <w:p w14:paraId="6FF14747" w14:textId="77777777" w:rsidR="002A0617" w:rsidRPr="00013D78" w:rsidRDefault="002A0617" w:rsidP="00036D38">
            <w:pPr>
              <w:jc w:val="center"/>
            </w:pP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3687" w:type="dxa"/>
          </w:tcPr>
          <w:p w14:paraId="16486B54" w14:textId="77777777" w:rsidR="002A0617" w:rsidRPr="00013D78" w:rsidRDefault="002A0617" w:rsidP="00036D38">
            <w:r>
              <w:t>-40</w:t>
            </w:r>
          </w:p>
        </w:tc>
      </w:tr>
      <w:tr w:rsidR="002A0617" w:rsidRPr="00013D78" w14:paraId="21123F10" w14:textId="77777777" w:rsidTr="00B630BC">
        <w:trPr>
          <w:trHeight w:val="276"/>
        </w:trPr>
        <w:tc>
          <w:tcPr>
            <w:tcW w:w="4616" w:type="dxa"/>
          </w:tcPr>
          <w:p w14:paraId="01E2099E" w14:textId="77777777" w:rsidR="002A0617" w:rsidRDefault="002A0617" w:rsidP="00036D38">
            <w:r w:rsidRPr="006667E3">
              <w:t>Difúzně ekvivalentní tloušťka vzduchové vrstvy</w:t>
            </w:r>
          </w:p>
        </w:tc>
        <w:tc>
          <w:tcPr>
            <w:tcW w:w="1892" w:type="dxa"/>
          </w:tcPr>
          <w:p w14:paraId="5797AAF8" w14:textId="77777777" w:rsidR="002A0617" w:rsidRPr="006D1B4D" w:rsidRDefault="002A0617" w:rsidP="00036D38">
            <w:pPr>
              <w:jc w:val="center"/>
              <w:rPr>
                <w:sz w:val="20"/>
                <w:szCs w:val="20"/>
              </w:rPr>
            </w:pPr>
            <w:r w:rsidRPr="006D1B4D">
              <w:rPr>
                <w:sz w:val="20"/>
                <w:szCs w:val="20"/>
              </w:rPr>
              <w:t>EN ISO12572</w:t>
            </w:r>
          </w:p>
        </w:tc>
        <w:tc>
          <w:tcPr>
            <w:tcW w:w="1127" w:type="dxa"/>
          </w:tcPr>
          <w:p w14:paraId="7086CB41" w14:textId="77777777" w:rsidR="002A0617" w:rsidRDefault="002A0617" w:rsidP="00036D38">
            <w:pPr>
              <w:jc w:val="center"/>
            </w:pPr>
            <w:proofErr w:type="spellStart"/>
            <w:r w:rsidRPr="001B2690">
              <w:rPr>
                <w:vertAlign w:val="superscript"/>
              </w:rPr>
              <w:t>S</w:t>
            </w:r>
            <w:r w:rsidRPr="001B2690">
              <w:rPr>
                <w:vertAlign w:val="subscript"/>
              </w:rPr>
              <w:t>d</w:t>
            </w:r>
            <w:proofErr w:type="spellEnd"/>
            <w:r w:rsidRPr="001B2690">
              <w:rPr>
                <w:vertAlign w:val="superscript"/>
              </w:rPr>
              <w:t>-</w:t>
            </w:r>
            <w:proofErr w:type="spellStart"/>
            <w:r w:rsidRPr="001B2690">
              <w:rPr>
                <w:vertAlign w:val="superscript"/>
              </w:rPr>
              <w:t>Wert</w:t>
            </w:r>
            <w:proofErr w:type="spellEnd"/>
            <w:r>
              <w:rPr>
                <w:vertAlign w:val="superscript"/>
              </w:rPr>
              <w:t>-m</w:t>
            </w:r>
          </w:p>
        </w:tc>
        <w:tc>
          <w:tcPr>
            <w:tcW w:w="3687" w:type="dxa"/>
          </w:tcPr>
          <w:p w14:paraId="7E306150" w14:textId="62142CA6" w:rsidR="002A0617" w:rsidRDefault="002F330B" w:rsidP="00036D38">
            <w:r w:rsidRPr="002F330B">
              <w:t>≤</w:t>
            </w:r>
            <w:r>
              <w:t xml:space="preserve"> </w:t>
            </w:r>
            <w:r w:rsidR="002A0617">
              <w:t>0,</w:t>
            </w:r>
            <w:r>
              <w:t>15</w:t>
            </w:r>
          </w:p>
        </w:tc>
      </w:tr>
      <w:tr w:rsidR="002A0617" w:rsidRPr="00013D78" w14:paraId="5C6F6756" w14:textId="77777777" w:rsidTr="00B630BC">
        <w:trPr>
          <w:trHeight w:val="264"/>
        </w:trPr>
        <w:tc>
          <w:tcPr>
            <w:tcW w:w="4616" w:type="dxa"/>
          </w:tcPr>
          <w:p w14:paraId="540A0C2C" w14:textId="77777777" w:rsidR="002A0617" w:rsidRPr="00013D78" w:rsidRDefault="002A0617" w:rsidP="00036D38">
            <w:r>
              <w:t>Odolnost proti průniku vzduchu</w:t>
            </w:r>
          </w:p>
        </w:tc>
        <w:tc>
          <w:tcPr>
            <w:tcW w:w="1892" w:type="dxa"/>
          </w:tcPr>
          <w:p w14:paraId="2081D924" w14:textId="77777777" w:rsidR="002A0617" w:rsidRPr="00013D78" w:rsidRDefault="002A0617" w:rsidP="00036D38">
            <w:pPr>
              <w:jc w:val="center"/>
            </w:pPr>
            <w:r>
              <w:t>EN 12114</w:t>
            </w:r>
          </w:p>
        </w:tc>
        <w:tc>
          <w:tcPr>
            <w:tcW w:w="1127" w:type="dxa"/>
          </w:tcPr>
          <w:p w14:paraId="3073F5CC" w14:textId="51E4471C" w:rsidR="002A0617" w:rsidRPr="00013D78" w:rsidRDefault="002A0617" w:rsidP="00036D38">
            <w:pPr>
              <w:jc w:val="center"/>
            </w:pPr>
            <w:r>
              <w:t>Pa</w:t>
            </w:r>
          </w:p>
        </w:tc>
        <w:tc>
          <w:tcPr>
            <w:tcW w:w="3687" w:type="dxa"/>
          </w:tcPr>
          <w:p w14:paraId="6BA96408" w14:textId="53F45FCC" w:rsidR="002A0617" w:rsidRPr="00013D78" w:rsidRDefault="00F735BF" w:rsidP="00036D38">
            <w:r w:rsidRPr="00F735BF">
              <w:t>0,1 m³/m².h.50</w:t>
            </w:r>
          </w:p>
        </w:tc>
      </w:tr>
      <w:tr w:rsidR="002A0617" w:rsidRPr="00013D78" w14:paraId="662180D5" w14:textId="77777777" w:rsidTr="00B630BC">
        <w:trPr>
          <w:trHeight w:val="264"/>
        </w:trPr>
        <w:tc>
          <w:tcPr>
            <w:tcW w:w="4616" w:type="dxa"/>
          </w:tcPr>
          <w:p w14:paraId="38DC45C1" w14:textId="77777777" w:rsidR="002A0617" w:rsidRDefault="002A0617" w:rsidP="00036D38">
            <w:r>
              <w:t>Teplotní odolnost</w:t>
            </w:r>
          </w:p>
        </w:tc>
        <w:tc>
          <w:tcPr>
            <w:tcW w:w="1892" w:type="dxa"/>
          </w:tcPr>
          <w:p w14:paraId="756CCC16" w14:textId="77777777" w:rsidR="002A0617" w:rsidRDefault="002A0617" w:rsidP="00036D38">
            <w:r>
              <w:t>EN 13859-1</w:t>
            </w:r>
          </w:p>
        </w:tc>
        <w:tc>
          <w:tcPr>
            <w:tcW w:w="1127" w:type="dxa"/>
          </w:tcPr>
          <w:p w14:paraId="69DE5310" w14:textId="77777777" w:rsidR="002A0617" w:rsidRDefault="002A0617" w:rsidP="00036D38">
            <w:pPr>
              <w:jc w:val="center"/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3687" w:type="dxa"/>
          </w:tcPr>
          <w:p w14:paraId="11257C62" w14:textId="0D30F881" w:rsidR="002A0617" w:rsidRDefault="002A0617" w:rsidP="00036D38">
            <w:r>
              <w:t>-40 až +1</w:t>
            </w:r>
            <w:r w:rsidR="009F0A4F">
              <w:t>2</w:t>
            </w:r>
            <w:r>
              <w:t>0</w:t>
            </w:r>
          </w:p>
        </w:tc>
      </w:tr>
      <w:tr w:rsidR="002A0617" w:rsidRPr="00013D78" w14:paraId="12266B5A" w14:textId="77777777" w:rsidTr="00B630BC">
        <w:trPr>
          <w:trHeight w:val="264"/>
        </w:trPr>
        <w:tc>
          <w:tcPr>
            <w:tcW w:w="4616" w:type="dxa"/>
          </w:tcPr>
          <w:p w14:paraId="2E58654A" w14:textId="2E4A3DD1" w:rsidR="002A0617" w:rsidRPr="00013D78" w:rsidRDefault="0078696C" w:rsidP="00036D38">
            <w:r>
              <w:t>Odolnost při ohybu za studena</w:t>
            </w:r>
          </w:p>
        </w:tc>
        <w:tc>
          <w:tcPr>
            <w:tcW w:w="1892" w:type="dxa"/>
          </w:tcPr>
          <w:p w14:paraId="10328FAB" w14:textId="27C15DF3" w:rsidR="002A0617" w:rsidRPr="00431812" w:rsidRDefault="00CA7814" w:rsidP="00036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1109</w:t>
            </w:r>
          </w:p>
        </w:tc>
        <w:tc>
          <w:tcPr>
            <w:tcW w:w="1127" w:type="dxa"/>
          </w:tcPr>
          <w:p w14:paraId="7EBE470B" w14:textId="77777777" w:rsidR="002A0617" w:rsidRPr="00431812" w:rsidRDefault="002A0617" w:rsidP="00036D38">
            <w:pPr>
              <w:jc w:val="center"/>
            </w:pP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3687" w:type="dxa"/>
          </w:tcPr>
          <w:p w14:paraId="64B86C7A" w14:textId="223A7A1E" w:rsidR="002A0617" w:rsidRPr="00013D78" w:rsidRDefault="00CA7814" w:rsidP="00036D38">
            <w:r w:rsidRPr="00CA7814">
              <w:t>≤ -20</w:t>
            </w:r>
          </w:p>
        </w:tc>
      </w:tr>
      <w:tr w:rsidR="002A0617" w:rsidRPr="00013D78" w14:paraId="07333C93" w14:textId="77777777" w:rsidTr="00B630BC">
        <w:trPr>
          <w:trHeight w:val="264"/>
        </w:trPr>
        <w:tc>
          <w:tcPr>
            <w:tcW w:w="4616" w:type="dxa"/>
          </w:tcPr>
          <w:p w14:paraId="66F105CE" w14:textId="77777777" w:rsidR="002A0617" w:rsidRPr="00013D78" w:rsidRDefault="002A0617" w:rsidP="00036D38">
            <w:r>
              <w:t>UV odolnost</w:t>
            </w:r>
          </w:p>
        </w:tc>
        <w:tc>
          <w:tcPr>
            <w:tcW w:w="1892" w:type="dxa"/>
          </w:tcPr>
          <w:p w14:paraId="47788CD2" w14:textId="77777777" w:rsidR="002A0617" w:rsidRPr="00013D78" w:rsidRDefault="002A0617" w:rsidP="00036D38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14:paraId="76BF3E16" w14:textId="77777777" w:rsidR="002A0617" w:rsidRPr="00013D78" w:rsidRDefault="002A0617" w:rsidP="00036D38">
            <w:pPr>
              <w:jc w:val="center"/>
            </w:pPr>
            <w:r>
              <w:t>měsíc</w:t>
            </w:r>
          </w:p>
        </w:tc>
        <w:tc>
          <w:tcPr>
            <w:tcW w:w="3687" w:type="dxa"/>
          </w:tcPr>
          <w:p w14:paraId="21BDBE1E" w14:textId="6BCF9CEF" w:rsidR="002A0617" w:rsidRPr="00013D78" w:rsidRDefault="00FB44B2" w:rsidP="00036D38">
            <w:r w:rsidRPr="00FB44B2">
              <w:t>≥ 3</w:t>
            </w:r>
          </w:p>
        </w:tc>
      </w:tr>
      <w:tr w:rsidR="00F15C1E" w:rsidRPr="00013D78" w14:paraId="2CCC48A4" w14:textId="77777777" w:rsidTr="00B630BC">
        <w:trPr>
          <w:trHeight w:val="276"/>
        </w:trPr>
        <w:tc>
          <w:tcPr>
            <w:tcW w:w="4616" w:type="dxa"/>
          </w:tcPr>
          <w:p w14:paraId="53A7854E" w14:textId="3EDEA964" w:rsidR="00F15C1E" w:rsidRPr="00013D78" w:rsidRDefault="00F15C1E" w:rsidP="00036D38">
            <w:r>
              <w:t>Vhodn</w:t>
            </w:r>
            <w:r w:rsidR="001B02DC">
              <w:t>ost</w:t>
            </w:r>
            <w:r>
              <w:t xml:space="preserve"> jako provizorní materiál pro zastřešení</w:t>
            </w:r>
          </w:p>
        </w:tc>
        <w:tc>
          <w:tcPr>
            <w:tcW w:w="1892" w:type="dxa"/>
          </w:tcPr>
          <w:p w14:paraId="5CB1DA20" w14:textId="57B95911" w:rsidR="00F15C1E" w:rsidRPr="00013D78" w:rsidRDefault="00F15C1E" w:rsidP="00036D38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14:paraId="2E09E0D5" w14:textId="5A830037" w:rsidR="00F15C1E" w:rsidRPr="00431812" w:rsidRDefault="005414F5" w:rsidP="00036D38">
            <w:pPr>
              <w:jc w:val="center"/>
            </w:pPr>
            <w:r>
              <w:t>týdny</w:t>
            </w:r>
          </w:p>
        </w:tc>
        <w:tc>
          <w:tcPr>
            <w:tcW w:w="3687" w:type="dxa"/>
          </w:tcPr>
          <w:p w14:paraId="4C0311BC" w14:textId="5E28E0E3" w:rsidR="00F15C1E" w:rsidRPr="00013D78" w:rsidRDefault="005414F5" w:rsidP="00036D38">
            <w:r w:rsidRPr="005414F5">
              <w:t xml:space="preserve">4 s ochranou </w:t>
            </w:r>
            <w:r w:rsidR="003704E1">
              <w:t>spojů</w:t>
            </w:r>
            <w:r w:rsidRPr="005414F5">
              <w:t>/p</w:t>
            </w:r>
            <w:r w:rsidR="003704E1">
              <w:t>erforací</w:t>
            </w:r>
          </w:p>
        </w:tc>
      </w:tr>
      <w:tr w:rsidR="00F15C1E" w:rsidRPr="00013D78" w14:paraId="654745F4" w14:textId="77777777" w:rsidTr="00B630BC">
        <w:trPr>
          <w:trHeight w:val="264"/>
        </w:trPr>
        <w:tc>
          <w:tcPr>
            <w:tcW w:w="4616" w:type="dxa"/>
          </w:tcPr>
          <w:p w14:paraId="66C2E2FE" w14:textId="10B63E9C" w:rsidR="00F15C1E" w:rsidRPr="00013D78" w:rsidRDefault="00F15C1E" w:rsidP="00036D38">
            <w:r>
              <w:t>Šířka pásu</w:t>
            </w:r>
          </w:p>
        </w:tc>
        <w:tc>
          <w:tcPr>
            <w:tcW w:w="1892" w:type="dxa"/>
          </w:tcPr>
          <w:p w14:paraId="5D8B0935" w14:textId="4A7C79BA" w:rsidR="00F15C1E" w:rsidRPr="00013D78" w:rsidRDefault="008647BD" w:rsidP="00036D38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14:paraId="39ED156A" w14:textId="4149FB39" w:rsidR="00F15C1E" w:rsidRPr="00013D78" w:rsidRDefault="00F15C1E" w:rsidP="00036D38">
            <w:pPr>
              <w:jc w:val="center"/>
            </w:pPr>
            <w:r>
              <w:t>m</w:t>
            </w:r>
          </w:p>
        </w:tc>
        <w:tc>
          <w:tcPr>
            <w:tcW w:w="3687" w:type="dxa"/>
          </w:tcPr>
          <w:p w14:paraId="575B5135" w14:textId="4E379A84" w:rsidR="00F15C1E" w:rsidRPr="00013D78" w:rsidRDefault="00F15C1E" w:rsidP="00036D38">
            <w:r>
              <w:t>1,5</w:t>
            </w:r>
          </w:p>
        </w:tc>
      </w:tr>
      <w:tr w:rsidR="00F15C1E" w:rsidRPr="00013D78" w14:paraId="54429091" w14:textId="77777777" w:rsidTr="00B630BC">
        <w:trPr>
          <w:trHeight w:val="264"/>
        </w:trPr>
        <w:tc>
          <w:tcPr>
            <w:tcW w:w="4616" w:type="dxa"/>
          </w:tcPr>
          <w:p w14:paraId="7A538A76" w14:textId="462F8781" w:rsidR="00F15C1E" w:rsidRPr="008C64BA" w:rsidRDefault="00F15C1E" w:rsidP="00036D38">
            <w:r>
              <w:t>Délka v roli</w:t>
            </w:r>
          </w:p>
        </w:tc>
        <w:tc>
          <w:tcPr>
            <w:tcW w:w="1892" w:type="dxa"/>
          </w:tcPr>
          <w:p w14:paraId="71F3D57D" w14:textId="2E732C8A" w:rsidR="00F15C1E" w:rsidRDefault="008647BD" w:rsidP="00036D38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14:paraId="325209BB" w14:textId="27A5A032" w:rsidR="00F15C1E" w:rsidRPr="00013D78" w:rsidRDefault="00F15C1E" w:rsidP="00036D38">
            <w:pPr>
              <w:jc w:val="center"/>
            </w:pPr>
            <w:r>
              <w:t>m</w:t>
            </w:r>
          </w:p>
        </w:tc>
        <w:tc>
          <w:tcPr>
            <w:tcW w:w="3687" w:type="dxa"/>
          </w:tcPr>
          <w:p w14:paraId="104C2560" w14:textId="17FF5550" w:rsidR="00F15C1E" w:rsidRDefault="00F15C1E" w:rsidP="00036D38">
            <w:r>
              <w:t>50</w:t>
            </w:r>
          </w:p>
        </w:tc>
      </w:tr>
      <w:tr w:rsidR="00F15C1E" w:rsidRPr="00013D78" w14:paraId="5CA780D1" w14:textId="77777777" w:rsidTr="00B630BC">
        <w:trPr>
          <w:trHeight w:val="264"/>
        </w:trPr>
        <w:tc>
          <w:tcPr>
            <w:tcW w:w="4616" w:type="dxa"/>
          </w:tcPr>
          <w:p w14:paraId="18B0E976" w14:textId="3978ABEA" w:rsidR="00F15C1E" w:rsidRPr="00890F43" w:rsidRDefault="00F15C1E" w:rsidP="00036D38">
            <w:r>
              <w:t>Váha role</w:t>
            </w:r>
          </w:p>
        </w:tc>
        <w:tc>
          <w:tcPr>
            <w:tcW w:w="1892" w:type="dxa"/>
          </w:tcPr>
          <w:p w14:paraId="55F92517" w14:textId="6567FF48" w:rsidR="00F15C1E" w:rsidRDefault="00F15C1E" w:rsidP="00036D38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14:paraId="5210B94C" w14:textId="61B94DBD" w:rsidR="00F15C1E" w:rsidRDefault="00F15C1E" w:rsidP="00036D38">
            <w:pPr>
              <w:jc w:val="center"/>
            </w:pPr>
            <w:r>
              <w:t>kg</w:t>
            </w:r>
          </w:p>
        </w:tc>
        <w:tc>
          <w:tcPr>
            <w:tcW w:w="3687" w:type="dxa"/>
          </w:tcPr>
          <w:p w14:paraId="66A17F8F" w14:textId="39ACC6DE" w:rsidR="00F15C1E" w:rsidRPr="00E56E87" w:rsidRDefault="00636688" w:rsidP="00036D38">
            <w:r>
              <w:t>9,5</w:t>
            </w:r>
          </w:p>
        </w:tc>
      </w:tr>
      <w:tr w:rsidR="00F15C1E" w:rsidRPr="00013D78" w14:paraId="1B88C040" w14:textId="77777777" w:rsidTr="00B630BC">
        <w:trPr>
          <w:trHeight w:val="276"/>
        </w:trPr>
        <w:tc>
          <w:tcPr>
            <w:tcW w:w="4616" w:type="dxa"/>
          </w:tcPr>
          <w:p w14:paraId="2105B309" w14:textId="1F4408D5" w:rsidR="00F15C1E" w:rsidRPr="00013D78" w:rsidRDefault="00F15C1E" w:rsidP="00036D38">
            <w:r w:rsidRPr="007932F6">
              <w:t>Balení na paletě</w:t>
            </w:r>
          </w:p>
        </w:tc>
        <w:tc>
          <w:tcPr>
            <w:tcW w:w="1892" w:type="dxa"/>
          </w:tcPr>
          <w:p w14:paraId="72B22354" w14:textId="10139518" w:rsidR="00F15C1E" w:rsidRPr="00013D78" w:rsidRDefault="00F15C1E" w:rsidP="00036D38">
            <w:pPr>
              <w:jc w:val="center"/>
            </w:pPr>
          </w:p>
        </w:tc>
        <w:tc>
          <w:tcPr>
            <w:tcW w:w="1127" w:type="dxa"/>
          </w:tcPr>
          <w:p w14:paraId="37023D29" w14:textId="1C60B50D" w:rsidR="00F15C1E" w:rsidRPr="00013D78" w:rsidRDefault="00F15C1E" w:rsidP="00036D38">
            <w:pPr>
              <w:jc w:val="center"/>
            </w:pPr>
            <w:r w:rsidRPr="007932F6">
              <w:t>rolí/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687" w:type="dxa"/>
          </w:tcPr>
          <w:p w14:paraId="6BF11A3E" w14:textId="76DAAB82" w:rsidR="00F15C1E" w:rsidRPr="00013D78" w:rsidRDefault="00F15C1E" w:rsidP="00036D38">
            <w:r>
              <w:t>2</w:t>
            </w:r>
            <w:r w:rsidR="00636688">
              <w:t>4</w:t>
            </w:r>
            <w:r>
              <w:t xml:space="preserve"> rolí/1</w:t>
            </w:r>
            <w:r w:rsidR="006D2ECD">
              <w:t>8</w:t>
            </w:r>
            <w:r>
              <w:t>00 m</w:t>
            </w:r>
            <w:r>
              <w:rPr>
                <w:vertAlign w:val="superscript"/>
              </w:rPr>
              <w:t>2</w:t>
            </w:r>
          </w:p>
        </w:tc>
      </w:tr>
      <w:tr w:rsidR="00F15C1E" w:rsidRPr="00013D78" w14:paraId="1DFF3C8B" w14:textId="77777777" w:rsidTr="00B630BC">
        <w:trPr>
          <w:trHeight w:val="264"/>
        </w:trPr>
        <w:tc>
          <w:tcPr>
            <w:tcW w:w="4616" w:type="dxa"/>
          </w:tcPr>
          <w:p w14:paraId="68441750" w14:textId="087AC0FC" w:rsidR="00F15C1E" w:rsidRPr="00013D78" w:rsidRDefault="00F15C1E" w:rsidP="00036D38">
            <w:r w:rsidRPr="00627BAD">
              <w:t>Katalogové číslo</w:t>
            </w:r>
          </w:p>
        </w:tc>
        <w:tc>
          <w:tcPr>
            <w:tcW w:w="1892" w:type="dxa"/>
          </w:tcPr>
          <w:p w14:paraId="173F3D85" w14:textId="374FFD2D" w:rsidR="00F15C1E" w:rsidRPr="00013D78" w:rsidRDefault="00F15C1E" w:rsidP="00036D38">
            <w:pPr>
              <w:jc w:val="center"/>
            </w:pPr>
            <w:r>
              <w:t xml:space="preserve">100000 </w:t>
            </w:r>
            <w:r w:rsidR="00497B57">
              <w:t>5204 5205</w:t>
            </w:r>
          </w:p>
        </w:tc>
        <w:tc>
          <w:tcPr>
            <w:tcW w:w="1127" w:type="dxa"/>
          </w:tcPr>
          <w:p w14:paraId="7027C88B" w14:textId="6F83F7EF" w:rsidR="00F15C1E" w:rsidRPr="00013D78" w:rsidRDefault="00F15C1E" w:rsidP="00036D38">
            <w:pPr>
              <w:jc w:val="center"/>
            </w:pPr>
          </w:p>
        </w:tc>
        <w:tc>
          <w:tcPr>
            <w:tcW w:w="3687" w:type="dxa"/>
          </w:tcPr>
          <w:p w14:paraId="4145634C" w14:textId="34CB8AD5" w:rsidR="00F15C1E" w:rsidRPr="00013D78" w:rsidRDefault="00F15C1E" w:rsidP="00036D38"/>
        </w:tc>
      </w:tr>
    </w:tbl>
    <w:p w14:paraId="3A6A1C1D" w14:textId="77777777" w:rsidR="00B03B5C" w:rsidRDefault="00B03B5C" w:rsidP="00570449">
      <w:pPr>
        <w:spacing w:after="0"/>
        <w:ind w:left="708"/>
        <w:rPr>
          <w:b/>
          <w:bCs/>
          <w:color w:val="ED7D31" w:themeColor="accent2"/>
        </w:rPr>
      </w:pPr>
    </w:p>
    <w:p w14:paraId="6BAA0347" w14:textId="77777777" w:rsidR="000D0AF2" w:rsidRDefault="000D0AF2" w:rsidP="00570449">
      <w:pPr>
        <w:spacing w:after="0"/>
        <w:ind w:left="708"/>
        <w:rPr>
          <w:b/>
          <w:bCs/>
          <w:color w:val="ED7D31" w:themeColor="accent2"/>
        </w:rPr>
      </w:pPr>
    </w:p>
    <w:p w14:paraId="3B981DE0" w14:textId="77777777" w:rsidR="000D0AF2" w:rsidRDefault="000D0AF2" w:rsidP="00570449">
      <w:pPr>
        <w:spacing w:after="0"/>
        <w:ind w:left="708"/>
        <w:rPr>
          <w:b/>
          <w:bCs/>
          <w:color w:val="ED7D31" w:themeColor="accent2"/>
        </w:rPr>
      </w:pPr>
    </w:p>
    <w:p w14:paraId="16F9D2B1" w14:textId="77777777" w:rsidR="000D0AF2" w:rsidRDefault="000D0AF2" w:rsidP="00570449">
      <w:pPr>
        <w:spacing w:after="0"/>
        <w:ind w:left="708"/>
        <w:rPr>
          <w:b/>
          <w:bCs/>
          <w:color w:val="ED7D31" w:themeColor="accent2"/>
        </w:rPr>
      </w:pPr>
    </w:p>
    <w:p w14:paraId="777CC802" w14:textId="77777777" w:rsidR="000D0AF2" w:rsidRDefault="000D0AF2" w:rsidP="00570449">
      <w:pPr>
        <w:spacing w:after="0"/>
        <w:ind w:left="708"/>
        <w:rPr>
          <w:b/>
          <w:bCs/>
          <w:color w:val="ED7D31" w:themeColor="accent2"/>
        </w:rPr>
      </w:pPr>
    </w:p>
    <w:p w14:paraId="7C48D9EA" w14:textId="2E54929B" w:rsidR="00176AC8" w:rsidRDefault="00FC22E5" w:rsidP="00570449">
      <w:pPr>
        <w:spacing w:after="0"/>
        <w:ind w:left="708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>Zpracování</w:t>
      </w:r>
    </w:p>
    <w:p w14:paraId="1067A8B4" w14:textId="77777777" w:rsidR="00FC22E5" w:rsidRDefault="00FC22E5" w:rsidP="00570449">
      <w:pPr>
        <w:spacing w:after="0"/>
        <w:ind w:left="708"/>
        <w:rPr>
          <w:b/>
          <w:bCs/>
          <w:color w:val="ED7D31" w:themeColor="accent2"/>
        </w:rPr>
      </w:pPr>
    </w:p>
    <w:p w14:paraId="2507B1B2" w14:textId="64F1A502" w:rsidR="0073475B" w:rsidRDefault="0073475B" w:rsidP="0036352A">
      <w:pPr>
        <w:spacing w:after="0"/>
        <w:ind w:left="708"/>
      </w:pPr>
      <w:r>
        <w:t xml:space="preserve">DIFFLEX THERMO FASSADE LIGHT je </w:t>
      </w:r>
      <w:proofErr w:type="spellStart"/>
      <w:r>
        <w:t>paropropustná</w:t>
      </w:r>
      <w:proofErr w:type="spellEnd"/>
      <w:r>
        <w:t xml:space="preserve"> fólie, kterou lze pokládat přímo na tepelnou izolaci nebo dřevěné bednění. Upevnění se provádí krok za krokem skrytým způsobem v oblasti překrytí</w:t>
      </w:r>
      <w:r w:rsidR="00F73BFE">
        <w:t xml:space="preserve"> </w:t>
      </w:r>
      <w:r w:rsidR="005E1722">
        <w:t>sponami</w:t>
      </w:r>
      <w:r>
        <w:t xml:space="preserve"> nebo přibit</w:t>
      </w:r>
      <w:r w:rsidR="00982FBC">
        <w:t>ím</w:t>
      </w:r>
      <w:r>
        <w:t xml:space="preserve"> kontralat</w:t>
      </w:r>
      <w:r w:rsidR="00982FBC">
        <w:t>í</w:t>
      </w:r>
      <w:r>
        <w:t xml:space="preserve">. Fixace na povrchu/v nekrytém místě musí být přelepeny/utěsněny. Pro uchycení (mechanické/adhezivní) musí být styčná plocha membrány minimálně 4 cm a připojovací body/čáry by měly být ve vhodné vzdálenosti, aby uchycení membrány bylo vhodně stabilizované </w:t>
      </w:r>
      <w:r w:rsidR="00C81A77">
        <w:t>před</w:t>
      </w:r>
      <w:r>
        <w:t xml:space="preserve"> pohyby způsobené např. větrem. Lepení je většinou možné pouze na pevné povrchy, na měkké izolace</w:t>
      </w:r>
      <w:r w:rsidR="0036352A">
        <w:t xml:space="preserve"> </w:t>
      </w:r>
      <w:r>
        <w:t>jsou nutná zvláštní opatření závislá na pod</w:t>
      </w:r>
      <w:r w:rsidR="0036352A">
        <w:t>kladu</w:t>
      </w:r>
      <w:r>
        <w:t>.</w:t>
      </w:r>
    </w:p>
    <w:p w14:paraId="3338B2B0" w14:textId="7D5DBF48" w:rsidR="0073475B" w:rsidRDefault="0073475B" w:rsidP="0073475B">
      <w:pPr>
        <w:spacing w:after="0"/>
        <w:ind w:left="708"/>
      </w:pPr>
      <w:r>
        <w:t>Fasádní fólie se pokládá vodorovně ve směru odvíjení spodní stranou na podklad/izolaci podle směru odvíjení, spodní strana fólie je vnější stranou balené, ještě navinuté role</w:t>
      </w:r>
      <w:r w:rsidR="005B609D">
        <w:t>.</w:t>
      </w:r>
      <w:r>
        <w:t xml:space="preserve"> </w:t>
      </w:r>
      <w:r w:rsidR="00E3290B">
        <w:t>S</w:t>
      </w:r>
      <w:r>
        <w:t>poje se lepí s přesahem cca 10 cm.</w:t>
      </w:r>
    </w:p>
    <w:p w14:paraId="1739E1C1" w14:textId="212BC62F" w:rsidR="005D7D7E" w:rsidRPr="00705DB4" w:rsidRDefault="0073475B" w:rsidP="0073475B">
      <w:pPr>
        <w:spacing w:after="0"/>
        <w:ind w:left="708"/>
      </w:pPr>
      <w:r>
        <w:t xml:space="preserve">Pokud je na straně místnosti instalována parozábrana s hodnotou </w:t>
      </w:r>
      <w:proofErr w:type="spellStart"/>
      <w:proofErr w:type="gramStart"/>
      <w:r>
        <w:t>sd</w:t>
      </w:r>
      <w:proofErr w:type="spellEnd"/>
      <w:r>
        <w:t xml:space="preserve"> &gt;</w:t>
      </w:r>
      <w:proofErr w:type="gramEnd"/>
      <w:r>
        <w:t xml:space="preserve"> 2 m, lze matematický průkaz ztráty kondenzací podle DIN 4108 vynechat.</w:t>
      </w:r>
    </w:p>
    <w:p w14:paraId="6CCE7F69" w14:textId="48FABDA1" w:rsidR="003755E3" w:rsidRDefault="003755E3" w:rsidP="00176AC8">
      <w:pPr>
        <w:spacing w:after="0"/>
        <w:ind w:left="708"/>
      </w:pPr>
    </w:p>
    <w:p w14:paraId="3C9094E2" w14:textId="19D70304" w:rsidR="00103A2D" w:rsidRDefault="00103A2D" w:rsidP="00952813">
      <w:pPr>
        <w:spacing w:after="0"/>
        <w:ind w:left="708"/>
      </w:pPr>
      <w:r>
        <w:t>DIFFLEX THERMO FASSADE LIGHT</w:t>
      </w:r>
      <w:r w:rsidR="00A81F11">
        <w:t xml:space="preserve"> </w:t>
      </w:r>
      <w:r w:rsidR="00952813">
        <w:t>fólie</w:t>
      </w:r>
      <w:r>
        <w:t xml:space="preserve"> na fasády jsou vodoodpudivé, ale nejsou krycím materiálem pro trvalé venkovní použití a měly by být co nejdříve zakryty. Funkce „provizorního kryt</w:t>
      </w:r>
      <w:r w:rsidR="00952813">
        <w:t>í</w:t>
      </w:r>
      <w:r>
        <w:t>“ je dána v rámci specifikací TU Berlín (ZVDH-PDB) a po stanovenou dobu při zajištění větru a vodotěsnosti s ochranou švů a perforací pomocí</w:t>
      </w:r>
      <w:r w:rsidR="00952813">
        <w:t xml:space="preserve"> </w:t>
      </w:r>
      <w:r w:rsidR="005743AB">
        <w:t>l</w:t>
      </w:r>
      <w:r>
        <w:t>epidl</w:t>
      </w:r>
      <w:r w:rsidR="005743AB">
        <w:t>a</w:t>
      </w:r>
      <w:r>
        <w:t xml:space="preserve"> bez rozpouštědel nebo použití „SK“ verze (doporučeno) a těsnící materiál na </w:t>
      </w:r>
      <w:r w:rsidR="005743AB">
        <w:t>spoje</w:t>
      </w:r>
      <w:r>
        <w:t>.</w:t>
      </w:r>
    </w:p>
    <w:p w14:paraId="2212D31A" w14:textId="3CCCDA14" w:rsidR="00103A2D" w:rsidRDefault="00103A2D" w:rsidP="00DB1677">
      <w:pPr>
        <w:spacing w:after="0"/>
        <w:ind w:left="708"/>
      </w:pPr>
      <w:r>
        <w:t xml:space="preserve">Pro lepení SK samolepicích </w:t>
      </w:r>
      <w:r w:rsidR="005743AB">
        <w:t>pás</w:t>
      </w:r>
      <w:r w:rsidR="008A5016">
        <w:t>,</w:t>
      </w:r>
      <w:r>
        <w:t xml:space="preserve"> jsou oba lepicí pásy nalepeny uprostřed nad sebou dostatečným tlakem, aby byly voděodolné a </w:t>
      </w:r>
      <w:proofErr w:type="spellStart"/>
      <w:r>
        <w:t>větruodolné</w:t>
      </w:r>
      <w:proofErr w:type="spellEnd"/>
      <w:r>
        <w:t xml:space="preserve">. Oddělovací pásy odstraňte bezprostředně před zpracováním, teplota zpracování SK samolepicí </w:t>
      </w:r>
      <w:r w:rsidR="00AE1694">
        <w:t>pás</w:t>
      </w:r>
      <w:r>
        <w:t xml:space="preserve"> ≥ 5°C. K ochraně izolace/konstrukce</w:t>
      </w:r>
      <w:r w:rsidR="00DD2950">
        <w:t>,</w:t>
      </w:r>
      <w:r>
        <w:t xml:space="preserve"> by měla být zpracována co nejrychleji a vždy je třeba dodržovat následující:</w:t>
      </w:r>
    </w:p>
    <w:p w14:paraId="47395CB2" w14:textId="63A748CD" w:rsidR="00103A2D" w:rsidRDefault="00103A2D" w:rsidP="00103A2D">
      <w:pPr>
        <w:spacing w:after="0"/>
        <w:ind w:left="708"/>
      </w:pPr>
      <w:r>
        <w:t>-</w:t>
      </w:r>
      <w:r w:rsidR="00DD2950">
        <w:t xml:space="preserve"> </w:t>
      </w:r>
      <w:r>
        <w:t>Ochrana membrány před pohyby způsobenými např. větrem, dostatečná stabilita podpěry membrány, vhodné upevnění např. vhodnými latěmi</w:t>
      </w:r>
    </w:p>
    <w:p w14:paraId="7EA5E0BE" w14:textId="77777777" w:rsidR="00103A2D" w:rsidRDefault="00103A2D" w:rsidP="00103A2D">
      <w:pPr>
        <w:spacing w:after="0"/>
        <w:ind w:left="708"/>
      </w:pPr>
      <w:r>
        <w:t>- Upevňovací vzdálenosti (cca 60 cm)</w:t>
      </w:r>
    </w:p>
    <w:p w14:paraId="3CABCF30" w14:textId="09EA8F91" w:rsidR="00103A2D" w:rsidRDefault="00103A2D" w:rsidP="00103A2D">
      <w:pPr>
        <w:spacing w:after="0"/>
        <w:ind w:left="708"/>
      </w:pPr>
      <w:r>
        <w:t>-</w:t>
      </w:r>
      <w:r w:rsidR="00DD2950">
        <w:t xml:space="preserve"> </w:t>
      </w:r>
      <w:r>
        <w:t>Utěsnění prostupů/perforací, spár a spojů podle DIN 4108-3 vhodnými speciálními lepidly</w:t>
      </w:r>
    </w:p>
    <w:p w14:paraId="26382926" w14:textId="06309DF9" w:rsidR="00103A2D" w:rsidRDefault="00103A2D" w:rsidP="00103A2D">
      <w:pPr>
        <w:spacing w:after="0"/>
        <w:ind w:left="708"/>
      </w:pPr>
      <w:r>
        <w:t>- Kontrolujte upevnění a povrch, zda nejsou poškozeny vnějšími vlivy (např. krupobití atd.), doporučujeme v pravidelných intervalech</w:t>
      </w:r>
    </w:p>
    <w:p w14:paraId="538F5FEF" w14:textId="03940FA4" w:rsidR="00103A2D" w:rsidRDefault="00103A2D" w:rsidP="00103A2D">
      <w:pPr>
        <w:spacing w:after="0"/>
        <w:ind w:left="708"/>
      </w:pPr>
      <w:r>
        <w:t>-</w:t>
      </w:r>
      <w:r w:rsidR="00B409D6">
        <w:t xml:space="preserve"> </w:t>
      </w:r>
      <w:r>
        <w:t xml:space="preserve">v případě potřeby </w:t>
      </w:r>
      <w:r w:rsidR="00850E34">
        <w:t xml:space="preserve">nutná </w:t>
      </w:r>
      <w:r>
        <w:t>oprava a vhodné přepracování před zpracováním fasádní konstrukce.</w:t>
      </w:r>
    </w:p>
    <w:p w14:paraId="3E603874" w14:textId="77777777" w:rsidR="00103A2D" w:rsidRDefault="00103A2D" w:rsidP="00103A2D">
      <w:pPr>
        <w:spacing w:after="0"/>
        <w:ind w:left="708"/>
      </w:pPr>
    </w:p>
    <w:p w14:paraId="0C6291CF" w14:textId="4EA78612" w:rsidR="00103A2D" w:rsidRDefault="00103A2D" w:rsidP="00103A2D">
      <w:pPr>
        <w:spacing w:after="0"/>
        <w:ind w:left="708"/>
      </w:pPr>
      <w:r>
        <w:t>Před zakrytím se zkontroluje upevnění/lepení a povrch membrány</w:t>
      </w:r>
      <w:r w:rsidR="00850E34">
        <w:t>.</w:t>
      </w:r>
    </w:p>
    <w:p w14:paraId="3C80799B" w14:textId="6C7B6735" w:rsidR="00103A2D" w:rsidRDefault="00613772" w:rsidP="00103A2D">
      <w:pPr>
        <w:spacing w:after="0"/>
        <w:ind w:left="708"/>
      </w:pPr>
      <w:r>
        <w:t>Při</w:t>
      </w:r>
      <w:r w:rsidR="00103A2D">
        <w:t xml:space="preserve"> poškození vnějšími vlivy a v případě potřeby je nutné před dalším zpracováním provést opravy a odpovídající přepracování.</w:t>
      </w:r>
    </w:p>
    <w:p w14:paraId="4BD268C1" w14:textId="02BF8F56" w:rsidR="00B748A4" w:rsidRDefault="00103A2D" w:rsidP="00103A2D">
      <w:pPr>
        <w:spacing w:after="0"/>
        <w:ind w:left="708"/>
      </w:pPr>
      <w:r>
        <w:t>Mechanická poškození, prostupy a spoje je nutné lepit speciálními lepidly. Speciální lepidlo a tmel se také používá pro lepení ve viditelných oblastech překrytí.</w:t>
      </w:r>
    </w:p>
    <w:p w14:paraId="3BD1DC23" w14:textId="77777777" w:rsidR="00480D60" w:rsidRDefault="00480D60" w:rsidP="00103A2D">
      <w:pPr>
        <w:spacing w:after="0"/>
        <w:ind w:left="708"/>
      </w:pPr>
    </w:p>
    <w:p w14:paraId="5649A546" w14:textId="4706ECE5" w:rsidR="003755E3" w:rsidRDefault="003755E3" w:rsidP="00176AC8">
      <w:pPr>
        <w:spacing w:after="0"/>
        <w:ind w:left="708"/>
        <w:rPr>
          <w:b/>
          <w:bCs/>
          <w:color w:val="ED7D31" w:themeColor="accent2"/>
        </w:rPr>
      </w:pPr>
      <w:r w:rsidRPr="003755E3">
        <w:rPr>
          <w:b/>
          <w:bCs/>
          <w:color w:val="ED7D31" w:themeColor="accent2"/>
        </w:rPr>
        <w:t>Skladování</w:t>
      </w:r>
    </w:p>
    <w:p w14:paraId="2E245AE5" w14:textId="450DF1CF" w:rsidR="003755E3" w:rsidRDefault="001E0AEA" w:rsidP="00176AC8">
      <w:pPr>
        <w:spacing w:after="0"/>
        <w:ind w:left="708"/>
      </w:pPr>
      <w:r w:rsidRPr="001E0AEA">
        <w:t xml:space="preserve">DIFFLEX THERMO FASSADE </w:t>
      </w:r>
      <w:proofErr w:type="gramStart"/>
      <w:r w:rsidRPr="001E0AEA">
        <w:t>LIGHT - Role</w:t>
      </w:r>
      <w:proofErr w:type="gramEnd"/>
      <w:r w:rsidRPr="001E0AEA">
        <w:t xml:space="preserve"> nesmí být při delším skladování vystaveny přímému slunečnímu záření nebo povětrnostním vlivům. Je třeba se vyvarovat stohování palet na sebe.</w:t>
      </w:r>
    </w:p>
    <w:p w14:paraId="1390FC37" w14:textId="6C038C4B" w:rsidR="007763CD" w:rsidRDefault="007763CD" w:rsidP="00402173">
      <w:pPr>
        <w:spacing w:after="0"/>
      </w:pPr>
    </w:p>
    <w:p w14:paraId="04A675CA" w14:textId="2C5A66F1" w:rsidR="00775F0A" w:rsidRPr="00775F0A" w:rsidRDefault="00B34AF2" w:rsidP="00775F0A">
      <w:pPr>
        <w:spacing w:after="0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4CF033" wp14:editId="232BFF3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56230" cy="815340"/>
            <wp:effectExtent l="0" t="0" r="1270" b="3810"/>
            <wp:wrapSquare wrapText="bothSides"/>
            <wp:docPr id="175221395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13957" name="Obrázek 175221395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F0A" w:rsidRPr="00775F0A">
        <w:rPr>
          <w:b/>
          <w:bCs/>
          <w:i/>
          <w:iCs/>
        </w:rPr>
        <w:t>Poznámka:</w:t>
      </w:r>
    </w:p>
    <w:p w14:paraId="15A3D09D" w14:textId="77777777" w:rsidR="00B01BA4" w:rsidRDefault="00B01BA4" w:rsidP="00402173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1ED8D5" wp14:editId="639AE9F1">
            <wp:simplePos x="0" y="0"/>
            <wp:positionH relativeFrom="column">
              <wp:posOffset>4771390</wp:posOffset>
            </wp:positionH>
            <wp:positionV relativeFrom="paragraph">
              <wp:posOffset>862330</wp:posOffset>
            </wp:positionV>
            <wp:extent cx="2209800" cy="1744980"/>
            <wp:effectExtent l="0" t="0" r="0" b="762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F0A" w:rsidRPr="00775F0A">
        <w:t>Hodnoty / vlastnosti základních vlastností podle EN / pokynů ke zpracování najdete v</w:t>
      </w:r>
      <w:r w:rsidR="00775F0A">
        <w:t> </w:t>
      </w:r>
      <w:r w:rsidR="00775F0A" w:rsidRPr="00775F0A">
        <w:t>aktuálních</w:t>
      </w:r>
      <w:r w:rsidR="00775F0A">
        <w:t xml:space="preserve"> </w:t>
      </w:r>
      <w:r w:rsidR="00775F0A" w:rsidRPr="00775F0A">
        <w:t>technických datech / datovém listu / pokynech ke zpracování / pokynech. Hodnoty mohou</w:t>
      </w:r>
      <w:r w:rsidR="00D54A55">
        <w:t xml:space="preserve"> </w:t>
      </w:r>
      <w:r w:rsidR="00775F0A" w:rsidRPr="00775F0A">
        <w:t>podléhat tolerancím. Pokud není uvedeno, platí průmyslová standardní tolerance podle normy,</w:t>
      </w:r>
      <w:r w:rsidR="00D54A55">
        <w:t xml:space="preserve"> </w:t>
      </w:r>
      <w:r w:rsidR="00775F0A" w:rsidRPr="00775F0A">
        <w:t>materiálu a vlastností. Všechny informace vycházejí z aktuálního stavu našich zkušeností v</w:t>
      </w:r>
      <w:r w:rsidR="00D54A55">
        <w:t xml:space="preserve"> </w:t>
      </w:r>
      <w:r w:rsidR="00775F0A" w:rsidRPr="00775F0A">
        <w:t>době vytvoření. Je-li to nutné, je třeba je případně upravit / změnit. Změny vyhrazeny. Platí naše</w:t>
      </w:r>
      <w:r w:rsidR="00324912">
        <w:t xml:space="preserve"> </w:t>
      </w:r>
      <w:r w:rsidR="00775F0A" w:rsidRPr="00775F0A">
        <w:t>všeobecné prodejní a dodací podmínky.</w:t>
      </w:r>
      <w:r>
        <w:t xml:space="preserve"> </w:t>
      </w:r>
    </w:p>
    <w:p w14:paraId="77D16137" w14:textId="77777777" w:rsidR="00B01BA4" w:rsidRDefault="00B01BA4" w:rsidP="00402173">
      <w:pPr>
        <w:spacing w:after="0"/>
      </w:pPr>
    </w:p>
    <w:p w14:paraId="69BC8CEA" w14:textId="4886D620" w:rsidR="005E58B1" w:rsidRDefault="005E58B1" w:rsidP="00402173">
      <w:pPr>
        <w:spacing w:after="0"/>
      </w:pPr>
      <w:r>
        <w:t xml:space="preserve">Dovozce: Fous s.r.o., Martinovská 328, Brandýs nad Labem                                 </w:t>
      </w:r>
    </w:p>
    <w:sectPr w:rsidR="005E58B1" w:rsidSect="00570449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67AB2"/>
    <w:multiLevelType w:val="hybridMultilevel"/>
    <w:tmpl w:val="A608EA72"/>
    <w:lvl w:ilvl="0" w:tplc="FCDE771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0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49"/>
    <w:rsid w:val="00005D40"/>
    <w:rsid w:val="00013D78"/>
    <w:rsid w:val="000174D2"/>
    <w:rsid w:val="00024705"/>
    <w:rsid w:val="00030930"/>
    <w:rsid w:val="00043E67"/>
    <w:rsid w:val="00051FCC"/>
    <w:rsid w:val="00052C0B"/>
    <w:rsid w:val="00064D55"/>
    <w:rsid w:val="000A7CF9"/>
    <w:rsid w:val="000B2B06"/>
    <w:rsid w:val="000C32C5"/>
    <w:rsid w:val="000C3C10"/>
    <w:rsid w:val="000D06BE"/>
    <w:rsid w:val="000D0AF2"/>
    <w:rsid w:val="000E3001"/>
    <w:rsid w:val="000E726B"/>
    <w:rsid w:val="000F5A93"/>
    <w:rsid w:val="000F7086"/>
    <w:rsid w:val="00103A2D"/>
    <w:rsid w:val="00107222"/>
    <w:rsid w:val="00125320"/>
    <w:rsid w:val="00141758"/>
    <w:rsid w:val="00151CB6"/>
    <w:rsid w:val="00157709"/>
    <w:rsid w:val="001600D2"/>
    <w:rsid w:val="00160F60"/>
    <w:rsid w:val="001661B4"/>
    <w:rsid w:val="00166947"/>
    <w:rsid w:val="001728C4"/>
    <w:rsid w:val="0017431D"/>
    <w:rsid w:val="00176AC8"/>
    <w:rsid w:val="00190E04"/>
    <w:rsid w:val="001A3AEE"/>
    <w:rsid w:val="001B02DC"/>
    <w:rsid w:val="001B2690"/>
    <w:rsid w:val="001C119E"/>
    <w:rsid w:val="001D5B13"/>
    <w:rsid w:val="001E0AEA"/>
    <w:rsid w:val="0021505D"/>
    <w:rsid w:val="002322C7"/>
    <w:rsid w:val="0023568E"/>
    <w:rsid w:val="0025147D"/>
    <w:rsid w:val="002563EC"/>
    <w:rsid w:val="00274799"/>
    <w:rsid w:val="00274CD4"/>
    <w:rsid w:val="00277861"/>
    <w:rsid w:val="00277FA7"/>
    <w:rsid w:val="002847F9"/>
    <w:rsid w:val="002A0617"/>
    <w:rsid w:val="002A6281"/>
    <w:rsid w:val="002C4878"/>
    <w:rsid w:val="002E34C8"/>
    <w:rsid w:val="002E6F67"/>
    <w:rsid w:val="002F330B"/>
    <w:rsid w:val="003077B3"/>
    <w:rsid w:val="00324912"/>
    <w:rsid w:val="0036352A"/>
    <w:rsid w:val="00363A7D"/>
    <w:rsid w:val="003704E1"/>
    <w:rsid w:val="00373F9C"/>
    <w:rsid w:val="003755E3"/>
    <w:rsid w:val="00381CFF"/>
    <w:rsid w:val="00391C24"/>
    <w:rsid w:val="00393A3E"/>
    <w:rsid w:val="003A2B2B"/>
    <w:rsid w:val="003B3307"/>
    <w:rsid w:val="003D4401"/>
    <w:rsid w:val="003E1AD4"/>
    <w:rsid w:val="003F5C23"/>
    <w:rsid w:val="00400606"/>
    <w:rsid w:val="00402173"/>
    <w:rsid w:val="004046C3"/>
    <w:rsid w:val="0040764C"/>
    <w:rsid w:val="00414295"/>
    <w:rsid w:val="00431812"/>
    <w:rsid w:val="004328E4"/>
    <w:rsid w:val="004431D8"/>
    <w:rsid w:val="00451798"/>
    <w:rsid w:val="00460C10"/>
    <w:rsid w:val="00461C76"/>
    <w:rsid w:val="00462ACB"/>
    <w:rsid w:val="00462AF3"/>
    <w:rsid w:val="004641C4"/>
    <w:rsid w:val="00465248"/>
    <w:rsid w:val="00476F71"/>
    <w:rsid w:val="00480D60"/>
    <w:rsid w:val="0048391A"/>
    <w:rsid w:val="004952F3"/>
    <w:rsid w:val="00497B57"/>
    <w:rsid w:val="004C6ED5"/>
    <w:rsid w:val="004D410D"/>
    <w:rsid w:val="004F298E"/>
    <w:rsid w:val="00501541"/>
    <w:rsid w:val="00507977"/>
    <w:rsid w:val="0053218F"/>
    <w:rsid w:val="00534937"/>
    <w:rsid w:val="005414F5"/>
    <w:rsid w:val="00545272"/>
    <w:rsid w:val="00545D33"/>
    <w:rsid w:val="00570449"/>
    <w:rsid w:val="0057239B"/>
    <w:rsid w:val="005743AB"/>
    <w:rsid w:val="00575137"/>
    <w:rsid w:val="005A280F"/>
    <w:rsid w:val="005A7C7F"/>
    <w:rsid w:val="005B4879"/>
    <w:rsid w:val="005B609D"/>
    <w:rsid w:val="005C5F8D"/>
    <w:rsid w:val="005D10E9"/>
    <w:rsid w:val="005D7D7E"/>
    <w:rsid w:val="005E1722"/>
    <w:rsid w:val="005E5618"/>
    <w:rsid w:val="005E58B1"/>
    <w:rsid w:val="00602308"/>
    <w:rsid w:val="00613772"/>
    <w:rsid w:val="00626540"/>
    <w:rsid w:val="0062734F"/>
    <w:rsid w:val="00627BAD"/>
    <w:rsid w:val="00636688"/>
    <w:rsid w:val="0064329E"/>
    <w:rsid w:val="00646DD9"/>
    <w:rsid w:val="006667E3"/>
    <w:rsid w:val="00672884"/>
    <w:rsid w:val="006924DC"/>
    <w:rsid w:val="006936B1"/>
    <w:rsid w:val="00695E06"/>
    <w:rsid w:val="0069637A"/>
    <w:rsid w:val="00697469"/>
    <w:rsid w:val="006A65F5"/>
    <w:rsid w:val="006C4F8D"/>
    <w:rsid w:val="006D1B4D"/>
    <w:rsid w:val="006D2ECD"/>
    <w:rsid w:val="006F4420"/>
    <w:rsid w:val="006F7021"/>
    <w:rsid w:val="00704EC8"/>
    <w:rsid w:val="00705DB4"/>
    <w:rsid w:val="00712008"/>
    <w:rsid w:val="0073475B"/>
    <w:rsid w:val="007353C2"/>
    <w:rsid w:val="00737966"/>
    <w:rsid w:val="007560C0"/>
    <w:rsid w:val="007632C9"/>
    <w:rsid w:val="00775F0A"/>
    <w:rsid w:val="007763CD"/>
    <w:rsid w:val="00776FC0"/>
    <w:rsid w:val="0078133A"/>
    <w:rsid w:val="0078567D"/>
    <w:rsid w:val="0078696C"/>
    <w:rsid w:val="00787862"/>
    <w:rsid w:val="007903BF"/>
    <w:rsid w:val="007932F6"/>
    <w:rsid w:val="007A63C5"/>
    <w:rsid w:val="007C13C4"/>
    <w:rsid w:val="007C3F66"/>
    <w:rsid w:val="007D0EB3"/>
    <w:rsid w:val="007D11E9"/>
    <w:rsid w:val="007E540C"/>
    <w:rsid w:val="007E5D0B"/>
    <w:rsid w:val="00815436"/>
    <w:rsid w:val="008301D8"/>
    <w:rsid w:val="008344E1"/>
    <w:rsid w:val="00850E34"/>
    <w:rsid w:val="00852EDB"/>
    <w:rsid w:val="008647BD"/>
    <w:rsid w:val="0086781A"/>
    <w:rsid w:val="00875795"/>
    <w:rsid w:val="008759D4"/>
    <w:rsid w:val="00880649"/>
    <w:rsid w:val="008874EF"/>
    <w:rsid w:val="00890F43"/>
    <w:rsid w:val="008A5016"/>
    <w:rsid w:val="008A515C"/>
    <w:rsid w:val="008C3FC0"/>
    <w:rsid w:val="008C64BA"/>
    <w:rsid w:val="008D5E54"/>
    <w:rsid w:val="008E0AAE"/>
    <w:rsid w:val="008E7C76"/>
    <w:rsid w:val="008F0E9D"/>
    <w:rsid w:val="008F55D6"/>
    <w:rsid w:val="00921E3B"/>
    <w:rsid w:val="00933BB2"/>
    <w:rsid w:val="00936477"/>
    <w:rsid w:val="00940FFE"/>
    <w:rsid w:val="00946935"/>
    <w:rsid w:val="009479E0"/>
    <w:rsid w:val="009516FB"/>
    <w:rsid w:val="009517D3"/>
    <w:rsid w:val="00952813"/>
    <w:rsid w:val="00963848"/>
    <w:rsid w:val="00973917"/>
    <w:rsid w:val="00974AF5"/>
    <w:rsid w:val="00982FBC"/>
    <w:rsid w:val="009A6408"/>
    <w:rsid w:val="009A6A16"/>
    <w:rsid w:val="009E6998"/>
    <w:rsid w:val="009F0A4F"/>
    <w:rsid w:val="009F5994"/>
    <w:rsid w:val="00A0707E"/>
    <w:rsid w:val="00A116D0"/>
    <w:rsid w:val="00A3279E"/>
    <w:rsid w:val="00A348CD"/>
    <w:rsid w:val="00A418A9"/>
    <w:rsid w:val="00A64D60"/>
    <w:rsid w:val="00A81F11"/>
    <w:rsid w:val="00A907C7"/>
    <w:rsid w:val="00AB2F54"/>
    <w:rsid w:val="00AC5059"/>
    <w:rsid w:val="00AC79D2"/>
    <w:rsid w:val="00AE1694"/>
    <w:rsid w:val="00AF485C"/>
    <w:rsid w:val="00B01BA4"/>
    <w:rsid w:val="00B03B5C"/>
    <w:rsid w:val="00B1183B"/>
    <w:rsid w:val="00B26934"/>
    <w:rsid w:val="00B34AF2"/>
    <w:rsid w:val="00B409D6"/>
    <w:rsid w:val="00B52000"/>
    <w:rsid w:val="00B54D2E"/>
    <w:rsid w:val="00B568EF"/>
    <w:rsid w:val="00B61BD0"/>
    <w:rsid w:val="00B61E95"/>
    <w:rsid w:val="00B630BC"/>
    <w:rsid w:val="00B748A4"/>
    <w:rsid w:val="00B751FB"/>
    <w:rsid w:val="00BB46F4"/>
    <w:rsid w:val="00BB4CA9"/>
    <w:rsid w:val="00BC1FAA"/>
    <w:rsid w:val="00BC3124"/>
    <w:rsid w:val="00BC36A2"/>
    <w:rsid w:val="00C01A10"/>
    <w:rsid w:val="00C04D82"/>
    <w:rsid w:val="00C12832"/>
    <w:rsid w:val="00C21364"/>
    <w:rsid w:val="00C328FE"/>
    <w:rsid w:val="00C42609"/>
    <w:rsid w:val="00C43324"/>
    <w:rsid w:val="00C62B93"/>
    <w:rsid w:val="00C678B8"/>
    <w:rsid w:val="00C81A77"/>
    <w:rsid w:val="00C93511"/>
    <w:rsid w:val="00CA01C8"/>
    <w:rsid w:val="00CA513F"/>
    <w:rsid w:val="00CA7814"/>
    <w:rsid w:val="00CC011B"/>
    <w:rsid w:val="00CC281E"/>
    <w:rsid w:val="00D0138F"/>
    <w:rsid w:val="00D04A08"/>
    <w:rsid w:val="00D11CC7"/>
    <w:rsid w:val="00D12982"/>
    <w:rsid w:val="00D20252"/>
    <w:rsid w:val="00D402E8"/>
    <w:rsid w:val="00D47A15"/>
    <w:rsid w:val="00D54A55"/>
    <w:rsid w:val="00D64897"/>
    <w:rsid w:val="00D7329E"/>
    <w:rsid w:val="00DB1677"/>
    <w:rsid w:val="00DD2950"/>
    <w:rsid w:val="00DE33CC"/>
    <w:rsid w:val="00DE7F32"/>
    <w:rsid w:val="00DF0768"/>
    <w:rsid w:val="00E05855"/>
    <w:rsid w:val="00E06259"/>
    <w:rsid w:val="00E17FA9"/>
    <w:rsid w:val="00E2380B"/>
    <w:rsid w:val="00E3290B"/>
    <w:rsid w:val="00E47A4E"/>
    <w:rsid w:val="00E52D8C"/>
    <w:rsid w:val="00E56E87"/>
    <w:rsid w:val="00E64FEC"/>
    <w:rsid w:val="00E67285"/>
    <w:rsid w:val="00E72938"/>
    <w:rsid w:val="00EA347C"/>
    <w:rsid w:val="00EA6518"/>
    <w:rsid w:val="00EB5A73"/>
    <w:rsid w:val="00EB7591"/>
    <w:rsid w:val="00EC5AAF"/>
    <w:rsid w:val="00EC7911"/>
    <w:rsid w:val="00ED10FE"/>
    <w:rsid w:val="00ED3676"/>
    <w:rsid w:val="00EE3555"/>
    <w:rsid w:val="00EE5E02"/>
    <w:rsid w:val="00EE679E"/>
    <w:rsid w:val="00EF2948"/>
    <w:rsid w:val="00EF74A3"/>
    <w:rsid w:val="00F140C6"/>
    <w:rsid w:val="00F15C1E"/>
    <w:rsid w:val="00F17CB6"/>
    <w:rsid w:val="00F26E59"/>
    <w:rsid w:val="00F361A8"/>
    <w:rsid w:val="00F53DDC"/>
    <w:rsid w:val="00F56A38"/>
    <w:rsid w:val="00F607B8"/>
    <w:rsid w:val="00F735BF"/>
    <w:rsid w:val="00F73BFE"/>
    <w:rsid w:val="00F8262E"/>
    <w:rsid w:val="00F830A2"/>
    <w:rsid w:val="00F85C9D"/>
    <w:rsid w:val="00FA17C7"/>
    <w:rsid w:val="00FA203C"/>
    <w:rsid w:val="00FA3FAD"/>
    <w:rsid w:val="00FA5BD8"/>
    <w:rsid w:val="00FA7BDE"/>
    <w:rsid w:val="00FB0B44"/>
    <w:rsid w:val="00FB2356"/>
    <w:rsid w:val="00FB44B2"/>
    <w:rsid w:val="00FC22E5"/>
    <w:rsid w:val="00FC5536"/>
    <w:rsid w:val="00FC5B96"/>
    <w:rsid w:val="00FD0CE9"/>
    <w:rsid w:val="00FD177C"/>
    <w:rsid w:val="00FE08CD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E9DD"/>
  <w15:chartTrackingRefBased/>
  <w15:docId w15:val="{0711EBE0-DAD3-4227-8A88-3417738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E7F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F3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9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Zygula</dc:creator>
  <cp:keywords/>
  <dc:description/>
  <cp:lastModifiedBy>Martin  Dosedla</cp:lastModifiedBy>
  <cp:revision>2</cp:revision>
  <dcterms:created xsi:type="dcterms:W3CDTF">2024-11-06T08:45:00Z</dcterms:created>
  <dcterms:modified xsi:type="dcterms:W3CDTF">2024-11-06T08:45:00Z</dcterms:modified>
</cp:coreProperties>
</file>